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BB" w:rsidRDefault="00AF54BB" w:rsidP="00AF54BB">
      <w:pPr>
        <w:pStyle w:val="Prrafodelista"/>
        <w:jc w:val="both"/>
        <w:rPr>
          <w:rFonts w:ascii="Arial" w:hAnsi="Arial" w:cs="Arial"/>
          <w:i/>
          <w:sz w:val="24"/>
          <w:szCs w:val="24"/>
        </w:rPr>
      </w:pPr>
      <w:bookmarkStart w:id="0" w:name="_GoBack"/>
      <w:bookmarkEnd w:id="0"/>
      <w:r w:rsidRPr="00FA2D0D">
        <w:rPr>
          <w:rFonts w:ascii="Arial" w:hAnsi="Arial" w:cs="Arial"/>
          <w:sz w:val="24"/>
          <w:szCs w:val="24"/>
        </w:rPr>
        <w:t>Respuesta al oficio No. COFEME/15/1480 RE: Solicitud de ampliaciones y correcciones a la manifestación de impacto regulatorio del anteproyecto denominado “</w:t>
      </w:r>
      <w:r w:rsidRPr="00FA2D0D">
        <w:rPr>
          <w:rFonts w:ascii="Arial" w:hAnsi="Arial" w:cs="Arial"/>
          <w:i/>
          <w:sz w:val="24"/>
          <w:szCs w:val="24"/>
        </w:rPr>
        <w:t>Acuerdo que establece los gases o compuestos de efecto invernadero que se agrupan para efectos de reporte de emisiones, así como sus potenciales de calentamiento”.</w:t>
      </w:r>
    </w:p>
    <w:p w:rsidR="00AF54BB" w:rsidRPr="00FA2D0D" w:rsidRDefault="00AF54BB" w:rsidP="00AF54BB">
      <w:pPr>
        <w:pStyle w:val="Prrafodelista"/>
        <w:jc w:val="both"/>
        <w:rPr>
          <w:rFonts w:ascii="Arial" w:hAnsi="Arial" w:cs="Arial"/>
          <w:sz w:val="24"/>
          <w:szCs w:val="24"/>
        </w:rPr>
      </w:pPr>
    </w:p>
    <w:p w:rsidR="00AF54BB" w:rsidRPr="00FA2D0D" w:rsidRDefault="00AF54BB" w:rsidP="00AF54BB">
      <w:pPr>
        <w:pStyle w:val="Prrafodelista"/>
        <w:numPr>
          <w:ilvl w:val="0"/>
          <w:numId w:val="1"/>
        </w:numPr>
        <w:jc w:val="both"/>
        <w:rPr>
          <w:rFonts w:ascii="Arial" w:hAnsi="Arial" w:cs="Arial"/>
          <w:sz w:val="24"/>
          <w:szCs w:val="24"/>
        </w:rPr>
      </w:pPr>
      <w:r w:rsidRPr="00FA2D0D">
        <w:rPr>
          <w:rFonts w:ascii="Arial" w:hAnsi="Arial" w:cs="Arial"/>
          <w:sz w:val="24"/>
          <w:szCs w:val="24"/>
        </w:rPr>
        <w:t>Describa los objetivos generales de la regulación propuesta</w:t>
      </w:r>
    </w:p>
    <w:p w:rsidR="00AF54BB" w:rsidRPr="00FA2D0D" w:rsidRDefault="00AF54BB" w:rsidP="00AF54BB">
      <w:pPr>
        <w:jc w:val="both"/>
        <w:rPr>
          <w:rFonts w:ascii="Arial" w:hAnsi="Arial" w:cs="Arial"/>
          <w:sz w:val="24"/>
          <w:szCs w:val="24"/>
        </w:rPr>
      </w:pPr>
      <w:r w:rsidRPr="00FA2D0D">
        <w:rPr>
          <w:rFonts w:ascii="Arial" w:hAnsi="Arial" w:cs="Arial"/>
          <w:sz w:val="24"/>
          <w:szCs w:val="24"/>
        </w:rPr>
        <w:t xml:space="preserve">El Cambio Climático es la consecuencia del aumento de la concentración de gases de efecto invernadero en la atmósfera, lo cual provoca un aumento gradual de la temperatura del planeta y cambios en los patrones de precipitación pluvial, cambios en la intensidad o frecuencia de eventos climáticos extremos, reducción de la </w:t>
      </w:r>
      <w:proofErr w:type="spellStart"/>
      <w:r w:rsidRPr="00FA2D0D">
        <w:rPr>
          <w:rFonts w:ascii="Arial" w:hAnsi="Arial" w:cs="Arial"/>
          <w:sz w:val="24"/>
          <w:szCs w:val="24"/>
        </w:rPr>
        <w:t>criósfera</w:t>
      </w:r>
      <w:proofErr w:type="spellEnd"/>
      <w:r w:rsidRPr="00FA2D0D">
        <w:rPr>
          <w:rFonts w:ascii="Arial" w:hAnsi="Arial" w:cs="Arial"/>
          <w:sz w:val="24"/>
          <w:szCs w:val="24"/>
        </w:rPr>
        <w:t xml:space="preserve"> y un alza del nivel del mar. El Quinto Reporte de Evaluación del IPCC (Panel Intergubernamental de Cambio Climático</w:t>
      </w:r>
      <w:r>
        <w:rPr>
          <w:rFonts w:ascii="Arial" w:hAnsi="Arial" w:cs="Arial"/>
          <w:sz w:val="24"/>
          <w:szCs w:val="24"/>
        </w:rPr>
        <w:t xml:space="preserve"> Anexo 8</w:t>
      </w:r>
      <w:r w:rsidRPr="00FA2D0D">
        <w:rPr>
          <w:rFonts w:ascii="Arial" w:hAnsi="Arial" w:cs="Arial"/>
          <w:sz w:val="24"/>
          <w:szCs w:val="24"/>
        </w:rPr>
        <w:t xml:space="preserve">) y la Convención Marco de las Naciones Unidas sobre Cambio Climático (CMUNCC Anexo 2) de la cual México es parte, señalan una serie de Gases o Compuestos de Efecto Invernadero (C y GEI) que poseen la característica de modificar las propiedades térmicas de la atmosfera.   Las consecuencias de estos cambios climáticos son significativas y, dada su magnitud, determinarán las características y condiciones del desarrollo económico, presente y futuro.   Se deberán de enfrentar simultáneamente el reto de adaptarse a los impactos originados por las nuevas condiciones climáticas, al mismo tiempo que se instrumenta una estrategia global de mitigación.   México reconoce que es un reto global y asume su contribución, para lo cual se ha demostrado su voluntad para reducir las causas y efectos del cambio climático, estableciendo instrumentos y políticas públicas en materia de mitigación y adaptación.  En la Quinta Comunicación Nacional de México ante la CMUNCC se documenta la situación actual del país (hasta 2012) y los avances que se han tenido respecto de las comunicaciones anteriores. Dicho documento se anexa como Anexo </w:t>
      </w:r>
      <w:r>
        <w:rPr>
          <w:rFonts w:ascii="Arial" w:hAnsi="Arial" w:cs="Arial"/>
          <w:sz w:val="24"/>
          <w:szCs w:val="24"/>
        </w:rPr>
        <w:t>9</w:t>
      </w:r>
      <w:r w:rsidRPr="00FA2D0D">
        <w:rPr>
          <w:rFonts w:ascii="Arial" w:hAnsi="Arial" w:cs="Arial"/>
          <w:sz w:val="24"/>
          <w:szCs w:val="24"/>
        </w:rPr>
        <w:t>.    En la Ley General de Cambio Climático</w:t>
      </w:r>
      <w:r w:rsidRPr="00FA2D0D">
        <w:rPr>
          <w:rStyle w:val="Refdenotaalpie"/>
          <w:rFonts w:ascii="Arial" w:hAnsi="Arial" w:cs="Arial"/>
          <w:sz w:val="24"/>
          <w:szCs w:val="24"/>
        </w:rPr>
        <w:footnoteReference w:id="1"/>
      </w:r>
      <w:r w:rsidRPr="00FA2D0D">
        <w:rPr>
          <w:rFonts w:ascii="Arial" w:hAnsi="Arial" w:cs="Arial"/>
          <w:sz w:val="24"/>
          <w:szCs w:val="24"/>
        </w:rPr>
        <w:t>,  se señalan como eje rector en materia de mitigación de emisiones de gases de efecto invernadero dos instrumentos  regulatorios: El Inventario Nacional de Emisiones</w:t>
      </w:r>
      <w:r w:rsidRPr="00FA2D0D">
        <w:rPr>
          <w:rStyle w:val="Refdenotaalpie"/>
          <w:rFonts w:ascii="Arial" w:hAnsi="Arial" w:cs="Arial"/>
          <w:sz w:val="24"/>
          <w:szCs w:val="24"/>
        </w:rPr>
        <w:footnoteReference w:id="2"/>
      </w:r>
      <w:r>
        <w:rPr>
          <w:rFonts w:ascii="Arial" w:hAnsi="Arial" w:cs="Arial"/>
          <w:sz w:val="24"/>
          <w:szCs w:val="24"/>
        </w:rPr>
        <w:t xml:space="preserve"> </w:t>
      </w:r>
      <w:r w:rsidRPr="00FA2D0D">
        <w:rPr>
          <w:rFonts w:ascii="Arial" w:hAnsi="Arial" w:cs="Arial"/>
          <w:sz w:val="24"/>
          <w:szCs w:val="24"/>
        </w:rPr>
        <w:t>y el Registro Nacional de Emisiones</w:t>
      </w:r>
      <w:r w:rsidRPr="00FA2D0D">
        <w:rPr>
          <w:rStyle w:val="Refdenotaalpie"/>
          <w:rFonts w:ascii="Arial" w:hAnsi="Arial" w:cs="Arial"/>
          <w:sz w:val="24"/>
          <w:szCs w:val="24"/>
        </w:rPr>
        <w:footnoteReference w:id="3"/>
      </w:r>
      <w:r>
        <w:rPr>
          <w:rFonts w:ascii="Arial" w:hAnsi="Arial" w:cs="Arial"/>
          <w:sz w:val="24"/>
          <w:szCs w:val="24"/>
        </w:rPr>
        <w:t xml:space="preserve"> (Anexo 10</w:t>
      </w:r>
      <w:r w:rsidRPr="00FA2D0D">
        <w:rPr>
          <w:rFonts w:ascii="Arial" w:hAnsi="Arial" w:cs="Arial"/>
          <w:sz w:val="24"/>
          <w:szCs w:val="24"/>
        </w:rPr>
        <w:t>).</w:t>
      </w:r>
    </w:p>
    <w:p w:rsidR="00AF54BB" w:rsidRPr="00FA2D0D" w:rsidRDefault="00AF54BB" w:rsidP="00AF54BB">
      <w:pPr>
        <w:jc w:val="both"/>
        <w:rPr>
          <w:rFonts w:ascii="Arial" w:hAnsi="Arial" w:cs="Arial"/>
          <w:sz w:val="24"/>
          <w:szCs w:val="24"/>
        </w:rPr>
      </w:pPr>
      <w:r w:rsidRPr="00FA2D0D">
        <w:rPr>
          <w:rFonts w:ascii="Arial" w:hAnsi="Arial" w:cs="Arial"/>
          <w:sz w:val="24"/>
          <w:szCs w:val="24"/>
        </w:rPr>
        <w:t xml:space="preserve">A continuación se demuestra el Diagrama de </w:t>
      </w:r>
      <w:proofErr w:type="spellStart"/>
      <w:r w:rsidRPr="00FA2D0D">
        <w:rPr>
          <w:rFonts w:ascii="Arial" w:hAnsi="Arial" w:cs="Arial"/>
          <w:sz w:val="24"/>
          <w:szCs w:val="24"/>
        </w:rPr>
        <w:t>emisones</w:t>
      </w:r>
      <w:proofErr w:type="spellEnd"/>
      <w:r w:rsidRPr="00FA2D0D">
        <w:rPr>
          <w:rFonts w:ascii="Arial" w:hAnsi="Arial" w:cs="Arial"/>
          <w:sz w:val="24"/>
          <w:szCs w:val="24"/>
        </w:rPr>
        <w:t xml:space="preserve"> de </w:t>
      </w:r>
      <w:proofErr w:type="spellStart"/>
      <w:r w:rsidRPr="00FA2D0D">
        <w:rPr>
          <w:rFonts w:ascii="Arial" w:hAnsi="Arial" w:cs="Arial"/>
          <w:sz w:val="24"/>
          <w:szCs w:val="24"/>
        </w:rPr>
        <w:t>CyGEI</w:t>
      </w:r>
      <w:proofErr w:type="spellEnd"/>
      <w:r w:rsidRPr="00FA2D0D">
        <w:rPr>
          <w:rFonts w:ascii="Arial" w:hAnsi="Arial" w:cs="Arial"/>
          <w:sz w:val="24"/>
          <w:szCs w:val="24"/>
        </w:rPr>
        <w:t xml:space="preserve"> para México (2013)  </w:t>
      </w:r>
    </w:p>
    <w:tbl>
      <w:tblPr>
        <w:tblW w:w="10209" w:type="dxa"/>
        <w:jc w:val="center"/>
        <w:tblCellMar>
          <w:left w:w="0" w:type="dxa"/>
          <w:right w:w="0" w:type="dxa"/>
        </w:tblCellMar>
        <w:tblLook w:val="0420" w:firstRow="1" w:lastRow="0" w:firstColumn="0" w:lastColumn="0" w:noHBand="0" w:noVBand="1"/>
      </w:tblPr>
      <w:tblGrid>
        <w:gridCol w:w="2838"/>
        <w:gridCol w:w="2597"/>
        <w:gridCol w:w="1918"/>
        <w:gridCol w:w="2856"/>
      </w:tblGrid>
      <w:tr w:rsidR="00AF54BB" w:rsidRPr="00FA2D0D" w:rsidTr="00CE7016">
        <w:trPr>
          <w:trHeight w:val="584"/>
          <w:jc w:val="center"/>
        </w:trPr>
        <w:tc>
          <w:tcPr>
            <w:tcW w:w="283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597" w:type="dxa"/>
            <w:tcBorders>
              <w:top w:val="nil"/>
              <w:left w:val="nil"/>
              <w:bottom w:val="nil"/>
              <w:right w:val="nil"/>
            </w:tcBorders>
            <w:shd w:val="clear" w:color="auto" w:fill="A6A6A6"/>
            <w:tcMar>
              <w:top w:w="72" w:type="dxa"/>
              <w:left w:w="144" w:type="dxa"/>
              <w:bottom w:w="72" w:type="dxa"/>
              <w:right w:w="144" w:type="dxa"/>
            </w:tcMar>
            <w:vAlign w:val="cente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 xml:space="preserve">Gases de Efecto </w:t>
            </w:r>
            <w:r w:rsidRPr="00FA2D0D">
              <w:rPr>
                <w:rFonts w:ascii="Arial" w:hAnsi="Arial" w:cs="Arial"/>
                <w:b/>
                <w:bCs/>
                <w:smallCaps/>
                <w:color w:val="000000" w:themeColor="text1"/>
                <w:kern w:val="24"/>
                <w:sz w:val="24"/>
                <w:szCs w:val="24"/>
                <w:lang w:val="es-ES"/>
              </w:rPr>
              <w:lastRenderedPageBreak/>
              <w:t>Invernadero</w:t>
            </w:r>
          </w:p>
        </w:tc>
        <w:tc>
          <w:tcPr>
            <w:tcW w:w="1918" w:type="dxa"/>
            <w:tcBorders>
              <w:top w:val="nil"/>
              <w:left w:val="nil"/>
              <w:bottom w:val="nil"/>
              <w:right w:val="nil"/>
            </w:tcBorders>
            <w:shd w:val="clear" w:color="auto" w:fill="595959"/>
            <w:tcMar>
              <w:top w:w="72" w:type="dxa"/>
              <w:left w:w="144" w:type="dxa"/>
              <w:bottom w:w="72" w:type="dxa"/>
              <w:right w:w="144" w:type="dxa"/>
            </w:tcMar>
            <w:vAlign w:val="cente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lastRenderedPageBreak/>
              <w:t xml:space="preserve">Carbono </w:t>
            </w:r>
            <w:r w:rsidRPr="00FA2D0D">
              <w:rPr>
                <w:rFonts w:ascii="Arial" w:hAnsi="Arial" w:cs="Arial"/>
                <w:b/>
                <w:bCs/>
                <w:smallCaps/>
                <w:color w:val="000000" w:themeColor="text1"/>
                <w:kern w:val="24"/>
                <w:sz w:val="24"/>
                <w:szCs w:val="24"/>
                <w:lang w:val="es-ES"/>
              </w:rPr>
              <w:lastRenderedPageBreak/>
              <w:t>Negro</w:t>
            </w:r>
          </w:p>
        </w:tc>
        <w:tc>
          <w:tcPr>
            <w:tcW w:w="2856" w:type="dxa"/>
            <w:tcBorders>
              <w:top w:val="nil"/>
              <w:left w:val="nil"/>
              <w:bottom w:val="nil"/>
              <w:right w:val="nil"/>
            </w:tcBorders>
            <w:shd w:val="clear" w:color="auto" w:fill="0D0D0D"/>
            <w:tcMar>
              <w:top w:w="72" w:type="dxa"/>
              <w:left w:w="144" w:type="dxa"/>
              <w:bottom w:w="72" w:type="dxa"/>
              <w:right w:w="144" w:type="dxa"/>
            </w:tcMar>
            <w:vAlign w:val="center"/>
            <w:hideMark/>
          </w:tcPr>
          <w:p w:rsidR="00AF54BB" w:rsidRPr="00FA2D0D" w:rsidRDefault="00AF54BB" w:rsidP="00CE7016">
            <w:pPr>
              <w:pStyle w:val="NormalWeb"/>
              <w:spacing w:before="0" w:beforeAutospacing="0" w:after="0" w:afterAutospacing="0"/>
              <w:jc w:val="both"/>
              <w:rPr>
                <w:rFonts w:ascii="Arial" w:hAnsi="Arial" w:cs="Arial"/>
              </w:rPr>
            </w:pPr>
            <w:r w:rsidRPr="00FA2D0D">
              <w:rPr>
                <w:rFonts w:ascii="Arial" w:hAnsi="Arial" w:cs="Arial"/>
                <w:b/>
                <w:bCs/>
                <w:color w:val="FFFFFF"/>
                <w:kern w:val="24"/>
                <w:lang w:val="es-ES"/>
              </w:rPr>
              <w:lastRenderedPageBreak/>
              <w:t>TOTAL</w:t>
            </w:r>
          </w:p>
        </w:tc>
      </w:tr>
      <w:tr w:rsidR="00AF54BB" w:rsidRPr="00FA2D0D" w:rsidTr="00CE7016">
        <w:trPr>
          <w:trHeight w:val="210"/>
          <w:jc w:val="center"/>
        </w:trPr>
        <w:tc>
          <w:tcPr>
            <w:tcW w:w="283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597"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191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856"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sz w:val="24"/>
                <w:szCs w:val="24"/>
              </w:rPr>
            </w:pPr>
          </w:p>
        </w:tc>
      </w:tr>
      <w:tr w:rsidR="00AF54BB" w:rsidRPr="00FA2D0D" w:rsidTr="00CE7016">
        <w:trPr>
          <w:trHeight w:val="584"/>
          <w:jc w:val="center"/>
        </w:trPr>
        <w:tc>
          <w:tcPr>
            <w:tcW w:w="2838" w:type="dxa"/>
            <w:tcBorders>
              <w:top w:val="nil"/>
              <w:left w:val="nil"/>
              <w:bottom w:val="nil"/>
              <w:right w:val="nil"/>
            </w:tcBorders>
            <w:shd w:val="clear" w:color="auto" w:fill="984807"/>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Transporte</w:t>
            </w:r>
          </w:p>
        </w:tc>
        <w:tc>
          <w:tcPr>
            <w:tcW w:w="2597" w:type="dxa"/>
            <w:tcBorders>
              <w:top w:val="nil"/>
              <w:left w:val="nil"/>
              <w:bottom w:val="nil"/>
              <w:right w:val="nil"/>
            </w:tcBorders>
            <w:shd w:val="clear" w:color="auto" w:fill="984807"/>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174.16</w:t>
            </w:r>
          </w:p>
        </w:tc>
        <w:tc>
          <w:tcPr>
            <w:tcW w:w="1918" w:type="dxa"/>
            <w:tcBorders>
              <w:top w:val="nil"/>
              <w:left w:val="nil"/>
              <w:bottom w:val="nil"/>
              <w:right w:val="nil"/>
            </w:tcBorders>
            <w:shd w:val="clear" w:color="auto" w:fill="984807"/>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37.93</w:t>
            </w:r>
          </w:p>
        </w:tc>
        <w:tc>
          <w:tcPr>
            <w:tcW w:w="2856" w:type="dxa"/>
            <w:tcBorders>
              <w:top w:val="nil"/>
              <w:left w:val="nil"/>
              <w:bottom w:val="nil"/>
              <w:right w:val="nil"/>
            </w:tcBorders>
            <w:shd w:val="clear" w:color="auto" w:fill="984807"/>
            <w:tcMar>
              <w:top w:w="72" w:type="dxa"/>
              <w:left w:w="144" w:type="dxa"/>
              <w:bottom w:w="72" w:type="dxa"/>
              <w:right w:w="144" w:type="dxa"/>
            </w:tcMar>
            <w:hideMark/>
          </w:tcPr>
          <w:p w:rsidR="00AF54BB" w:rsidRPr="00FA2D0D" w:rsidRDefault="00AF54BB" w:rsidP="00CE7016">
            <w:pPr>
              <w:pStyle w:val="NormalWeb"/>
              <w:spacing w:before="0" w:beforeAutospacing="0" w:after="0" w:afterAutospacing="0"/>
              <w:jc w:val="both"/>
              <w:rPr>
                <w:rFonts w:ascii="Arial" w:hAnsi="Arial" w:cs="Arial"/>
              </w:rPr>
            </w:pPr>
            <w:r w:rsidRPr="00FA2D0D">
              <w:rPr>
                <w:rFonts w:ascii="Arial" w:hAnsi="Arial" w:cs="Arial"/>
                <w:color w:val="FFFFFF" w:themeColor="background1"/>
                <w:kern w:val="24"/>
                <w:lang w:val="es-ES"/>
              </w:rPr>
              <w:t>212.09</w:t>
            </w:r>
          </w:p>
        </w:tc>
      </w:tr>
      <w:tr w:rsidR="00AF54BB" w:rsidRPr="00FA2D0D" w:rsidTr="00CE7016">
        <w:trPr>
          <w:trHeight w:val="193"/>
          <w:jc w:val="center"/>
        </w:trPr>
        <w:tc>
          <w:tcPr>
            <w:tcW w:w="2838" w:type="dxa"/>
            <w:tcBorders>
              <w:top w:val="nil"/>
              <w:left w:val="nil"/>
              <w:bottom w:val="nil"/>
              <w:right w:val="nil"/>
            </w:tcBorders>
            <w:shd w:val="clear" w:color="auto" w:fill="FFFFFF"/>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597" w:type="dxa"/>
            <w:tcBorders>
              <w:top w:val="nil"/>
              <w:left w:val="nil"/>
              <w:bottom w:val="nil"/>
              <w:right w:val="nil"/>
            </w:tcBorders>
            <w:shd w:val="clear" w:color="auto" w:fill="FFFFFF"/>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1918" w:type="dxa"/>
            <w:tcBorders>
              <w:top w:val="nil"/>
              <w:left w:val="nil"/>
              <w:bottom w:val="nil"/>
              <w:right w:val="nil"/>
            </w:tcBorders>
            <w:shd w:val="clear" w:color="auto" w:fill="FFFFFF"/>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856" w:type="dxa"/>
            <w:tcBorders>
              <w:top w:val="nil"/>
              <w:left w:val="nil"/>
              <w:bottom w:val="nil"/>
              <w:right w:val="nil"/>
            </w:tcBorders>
            <w:shd w:val="clear" w:color="auto" w:fill="FFFFFF"/>
            <w:tcMar>
              <w:top w:w="72" w:type="dxa"/>
              <w:left w:w="144" w:type="dxa"/>
              <w:bottom w:w="72" w:type="dxa"/>
              <w:right w:w="144" w:type="dxa"/>
            </w:tcMar>
            <w:hideMark/>
          </w:tcPr>
          <w:p w:rsidR="00AF54BB" w:rsidRPr="00FA2D0D" w:rsidRDefault="00AF54BB" w:rsidP="00CE7016">
            <w:pPr>
              <w:jc w:val="both"/>
              <w:rPr>
                <w:rFonts w:ascii="Arial" w:hAnsi="Arial" w:cs="Arial"/>
                <w:sz w:val="24"/>
                <w:szCs w:val="24"/>
              </w:rPr>
            </w:pPr>
          </w:p>
        </w:tc>
      </w:tr>
      <w:tr w:rsidR="00AF54BB" w:rsidRPr="00FA2D0D" w:rsidTr="00CE7016">
        <w:trPr>
          <w:trHeight w:val="584"/>
          <w:jc w:val="center"/>
        </w:trPr>
        <w:tc>
          <w:tcPr>
            <w:tcW w:w="2838" w:type="dxa"/>
            <w:tcBorders>
              <w:top w:val="nil"/>
              <w:left w:val="nil"/>
              <w:bottom w:val="nil"/>
              <w:right w:val="nil"/>
            </w:tcBorders>
            <w:shd w:val="clear" w:color="auto" w:fill="CC3300"/>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Generación de Electricidad</w:t>
            </w:r>
          </w:p>
        </w:tc>
        <w:tc>
          <w:tcPr>
            <w:tcW w:w="2597" w:type="dxa"/>
            <w:tcBorders>
              <w:top w:val="nil"/>
              <w:left w:val="nil"/>
              <w:bottom w:val="nil"/>
              <w:right w:val="nil"/>
            </w:tcBorders>
            <w:shd w:val="clear" w:color="auto" w:fill="CC3300"/>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126.61</w:t>
            </w:r>
          </w:p>
        </w:tc>
        <w:tc>
          <w:tcPr>
            <w:tcW w:w="1918" w:type="dxa"/>
            <w:tcBorders>
              <w:top w:val="nil"/>
              <w:left w:val="nil"/>
              <w:bottom w:val="nil"/>
              <w:right w:val="nil"/>
            </w:tcBorders>
            <w:shd w:val="clear" w:color="auto" w:fill="CC3300"/>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14.68</w:t>
            </w:r>
          </w:p>
        </w:tc>
        <w:tc>
          <w:tcPr>
            <w:tcW w:w="2856" w:type="dxa"/>
            <w:tcBorders>
              <w:top w:val="nil"/>
              <w:left w:val="nil"/>
              <w:bottom w:val="nil"/>
              <w:right w:val="nil"/>
            </w:tcBorders>
            <w:shd w:val="clear" w:color="auto" w:fill="CC3300"/>
            <w:tcMar>
              <w:top w:w="72" w:type="dxa"/>
              <w:left w:w="144" w:type="dxa"/>
              <w:bottom w:w="72" w:type="dxa"/>
              <w:right w:w="144" w:type="dxa"/>
            </w:tcMar>
            <w:hideMark/>
          </w:tcPr>
          <w:p w:rsidR="00AF54BB" w:rsidRPr="00FA2D0D" w:rsidRDefault="00AF54BB" w:rsidP="00CE7016">
            <w:pPr>
              <w:pStyle w:val="NormalWeb"/>
              <w:spacing w:before="0" w:beforeAutospacing="0" w:after="0" w:afterAutospacing="0"/>
              <w:jc w:val="both"/>
              <w:rPr>
                <w:rFonts w:ascii="Arial" w:hAnsi="Arial" w:cs="Arial"/>
              </w:rPr>
            </w:pPr>
            <w:r w:rsidRPr="00FA2D0D">
              <w:rPr>
                <w:rFonts w:ascii="Arial" w:hAnsi="Arial" w:cs="Arial"/>
                <w:color w:val="FFFFFF"/>
                <w:kern w:val="24"/>
                <w:lang w:val="es-ES"/>
              </w:rPr>
              <w:t>141.28</w:t>
            </w:r>
          </w:p>
        </w:tc>
      </w:tr>
      <w:tr w:rsidR="00AF54BB" w:rsidRPr="00FA2D0D" w:rsidTr="00CE7016">
        <w:trPr>
          <w:jc w:val="center"/>
        </w:trPr>
        <w:tc>
          <w:tcPr>
            <w:tcW w:w="283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597"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191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856"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sz w:val="24"/>
                <w:szCs w:val="24"/>
              </w:rPr>
            </w:pPr>
          </w:p>
        </w:tc>
      </w:tr>
      <w:tr w:rsidR="00AF54BB" w:rsidRPr="00FA2D0D" w:rsidTr="00CE7016">
        <w:trPr>
          <w:trHeight w:val="584"/>
          <w:jc w:val="center"/>
        </w:trPr>
        <w:tc>
          <w:tcPr>
            <w:tcW w:w="2838" w:type="dxa"/>
            <w:tcBorders>
              <w:top w:val="nil"/>
              <w:left w:val="nil"/>
              <w:bottom w:val="nil"/>
              <w:right w:val="nil"/>
            </w:tcBorders>
            <w:shd w:val="clear" w:color="auto" w:fill="F79646"/>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Residencial y Comercial</w:t>
            </w:r>
          </w:p>
        </w:tc>
        <w:tc>
          <w:tcPr>
            <w:tcW w:w="2597" w:type="dxa"/>
            <w:tcBorders>
              <w:top w:val="nil"/>
              <w:left w:val="nil"/>
              <w:bottom w:val="nil"/>
              <w:right w:val="nil"/>
            </w:tcBorders>
            <w:shd w:val="clear" w:color="auto" w:fill="F79646"/>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25.64</w:t>
            </w:r>
          </w:p>
        </w:tc>
        <w:tc>
          <w:tcPr>
            <w:tcW w:w="1918" w:type="dxa"/>
            <w:tcBorders>
              <w:top w:val="nil"/>
              <w:left w:val="nil"/>
              <w:bottom w:val="nil"/>
              <w:right w:val="nil"/>
            </w:tcBorders>
            <w:shd w:val="clear" w:color="auto" w:fill="F79646"/>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17.11</w:t>
            </w:r>
          </w:p>
        </w:tc>
        <w:tc>
          <w:tcPr>
            <w:tcW w:w="2856" w:type="dxa"/>
            <w:tcBorders>
              <w:top w:val="nil"/>
              <w:left w:val="nil"/>
              <w:bottom w:val="nil"/>
              <w:right w:val="nil"/>
            </w:tcBorders>
            <w:shd w:val="clear" w:color="auto" w:fill="F79646"/>
            <w:tcMar>
              <w:top w:w="72" w:type="dxa"/>
              <w:left w:w="144" w:type="dxa"/>
              <w:bottom w:w="72" w:type="dxa"/>
              <w:right w:w="144" w:type="dxa"/>
            </w:tcMar>
            <w:hideMark/>
          </w:tcPr>
          <w:p w:rsidR="00AF54BB" w:rsidRPr="00FA2D0D" w:rsidRDefault="00AF54BB" w:rsidP="00CE7016">
            <w:pPr>
              <w:pStyle w:val="NormalWeb"/>
              <w:spacing w:before="0" w:beforeAutospacing="0" w:after="0" w:afterAutospacing="0"/>
              <w:jc w:val="both"/>
              <w:rPr>
                <w:rFonts w:ascii="Arial" w:hAnsi="Arial" w:cs="Arial"/>
              </w:rPr>
            </w:pPr>
            <w:r w:rsidRPr="00FA2D0D">
              <w:rPr>
                <w:rFonts w:ascii="Arial" w:hAnsi="Arial" w:cs="Arial"/>
                <w:color w:val="FFFFFF"/>
                <w:kern w:val="24"/>
                <w:lang w:val="es-ES"/>
              </w:rPr>
              <w:t>42.75</w:t>
            </w:r>
          </w:p>
        </w:tc>
      </w:tr>
      <w:tr w:rsidR="00AF54BB" w:rsidRPr="00FA2D0D" w:rsidTr="00CE7016">
        <w:trPr>
          <w:trHeight w:val="236"/>
          <w:jc w:val="center"/>
        </w:trPr>
        <w:tc>
          <w:tcPr>
            <w:tcW w:w="283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597"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191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856"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sz w:val="24"/>
                <w:szCs w:val="24"/>
              </w:rPr>
            </w:pPr>
          </w:p>
        </w:tc>
      </w:tr>
      <w:tr w:rsidR="00AF54BB" w:rsidRPr="00FA2D0D" w:rsidTr="00CE7016">
        <w:trPr>
          <w:trHeight w:val="584"/>
          <w:jc w:val="center"/>
        </w:trPr>
        <w:tc>
          <w:tcPr>
            <w:tcW w:w="2838" w:type="dxa"/>
            <w:tcBorders>
              <w:top w:val="nil"/>
              <w:left w:val="nil"/>
              <w:bottom w:val="nil"/>
              <w:right w:val="nil"/>
            </w:tcBorders>
            <w:shd w:val="clear" w:color="auto" w:fill="7F7F7F"/>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Petróleo y Gas</w:t>
            </w:r>
          </w:p>
        </w:tc>
        <w:tc>
          <w:tcPr>
            <w:tcW w:w="2597" w:type="dxa"/>
            <w:tcBorders>
              <w:top w:val="nil"/>
              <w:left w:val="nil"/>
              <w:bottom w:val="nil"/>
              <w:right w:val="nil"/>
            </w:tcBorders>
            <w:shd w:val="clear" w:color="auto" w:fill="7F7F7F"/>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86.91</w:t>
            </w:r>
          </w:p>
        </w:tc>
        <w:tc>
          <w:tcPr>
            <w:tcW w:w="1918" w:type="dxa"/>
            <w:tcBorders>
              <w:top w:val="nil"/>
              <w:left w:val="nil"/>
              <w:bottom w:val="nil"/>
              <w:right w:val="nil"/>
            </w:tcBorders>
            <w:shd w:val="clear" w:color="auto" w:fill="7F7F7F"/>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1.95</w:t>
            </w:r>
          </w:p>
        </w:tc>
        <w:tc>
          <w:tcPr>
            <w:tcW w:w="2856" w:type="dxa"/>
            <w:tcBorders>
              <w:top w:val="nil"/>
              <w:left w:val="nil"/>
              <w:bottom w:val="nil"/>
              <w:right w:val="nil"/>
            </w:tcBorders>
            <w:shd w:val="clear" w:color="auto" w:fill="7F7F7F"/>
            <w:tcMar>
              <w:top w:w="72" w:type="dxa"/>
              <w:left w:w="144" w:type="dxa"/>
              <w:bottom w:w="72" w:type="dxa"/>
              <w:right w:w="144" w:type="dxa"/>
            </w:tcMar>
            <w:hideMark/>
          </w:tcPr>
          <w:p w:rsidR="00AF54BB" w:rsidRPr="00FA2D0D" w:rsidRDefault="00AF54BB" w:rsidP="00CE7016">
            <w:pPr>
              <w:pStyle w:val="NormalWeb"/>
              <w:spacing w:before="0" w:beforeAutospacing="0" w:after="0" w:afterAutospacing="0"/>
              <w:jc w:val="both"/>
              <w:rPr>
                <w:rFonts w:ascii="Arial" w:hAnsi="Arial" w:cs="Arial"/>
              </w:rPr>
            </w:pPr>
            <w:r w:rsidRPr="00FA2D0D">
              <w:rPr>
                <w:rFonts w:ascii="Arial" w:hAnsi="Arial" w:cs="Arial"/>
                <w:color w:val="FFFFFF"/>
                <w:kern w:val="24"/>
                <w:lang w:val="es-ES"/>
              </w:rPr>
              <w:t>88.86</w:t>
            </w:r>
          </w:p>
        </w:tc>
      </w:tr>
      <w:tr w:rsidR="00AF54BB" w:rsidRPr="00FA2D0D" w:rsidTr="00CE7016">
        <w:trPr>
          <w:trHeight w:val="210"/>
          <w:jc w:val="center"/>
        </w:trPr>
        <w:tc>
          <w:tcPr>
            <w:tcW w:w="283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597"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191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856"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sz w:val="24"/>
                <w:szCs w:val="24"/>
              </w:rPr>
            </w:pPr>
          </w:p>
        </w:tc>
      </w:tr>
      <w:tr w:rsidR="00AF54BB" w:rsidRPr="00FA2D0D" w:rsidTr="00CE7016">
        <w:trPr>
          <w:trHeight w:val="584"/>
          <w:jc w:val="center"/>
        </w:trPr>
        <w:tc>
          <w:tcPr>
            <w:tcW w:w="2838" w:type="dxa"/>
            <w:tcBorders>
              <w:top w:val="nil"/>
              <w:left w:val="nil"/>
              <w:bottom w:val="nil"/>
              <w:right w:val="nil"/>
            </w:tcBorders>
            <w:shd w:val="clear" w:color="auto" w:fill="4F81BD"/>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Industria</w:t>
            </w:r>
          </w:p>
        </w:tc>
        <w:tc>
          <w:tcPr>
            <w:tcW w:w="2597" w:type="dxa"/>
            <w:tcBorders>
              <w:top w:val="nil"/>
              <w:left w:val="nil"/>
              <w:bottom w:val="nil"/>
              <w:right w:val="nil"/>
            </w:tcBorders>
            <w:shd w:val="clear" w:color="auto" w:fill="4F81BD"/>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105.37</w:t>
            </w:r>
          </w:p>
        </w:tc>
        <w:tc>
          <w:tcPr>
            <w:tcW w:w="1918" w:type="dxa"/>
            <w:tcBorders>
              <w:top w:val="nil"/>
              <w:left w:val="nil"/>
              <w:bottom w:val="nil"/>
              <w:right w:val="nil"/>
            </w:tcBorders>
            <w:shd w:val="clear" w:color="auto" w:fill="4F81BD"/>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31.87</w:t>
            </w:r>
          </w:p>
        </w:tc>
        <w:tc>
          <w:tcPr>
            <w:tcW w:w="2856" w:type="dxa"/>
            <w:tcBorders>
              <w:top w:val="nil"/>
              <w:left w:val="nil"/>
              <w:bottom w:val="nil"/>
              <w:right w:val="nil"/>
            </w:tcBorders>
            <w:shd w:val="clear" w:color="auto" w:fill="4F81BD"/>
            <w:tcMar>
              <w:top w:w="72" w:type="dxa"/>
              <w:left w:w="144" w:type="dxa"/>
              <w:bottom w:w="72" w:type="dxa"/>
              <w:right w:w="144" w:type="dxa"/>
            </w:tcMar>
            <w:hideMark/>
          </w:tcPr>
          <w:p w:rsidR="00AF54BB" w:rsidRPr="00FA2D0D" w:rsidRDefault="00AF54BB" w:rsidP="00CE7016">
            <w:pPr>
              <w:pStyle w:val="NormalWeb"/>
              <w:spacing w:before="0" w:beforeAutospacing="0" w:after="0" w:afterAutospacing="0"/>
              <w:jc w:val="both"/>
              <w:rPr>
                <w:rFonts w:ascii="Arial" w:hAnsi="Arial" w:cs="Arial"/>
              </w:rPr>
            </w:pPr>
            <w:r w:rsidRPr="00FA2D0D">
              <w:rPr>
                <w:rFonts w:ascii="Arial" w:hAnsi="Arial" w:cs="Arial"/>
                <w:color w:val="FFFFFF"/>
                <w:kern w:val="24"/>
                <w:lang w:val="es-ES"/>
              </w:rPr>
              <w:t>137.24</w:t>
            </w:r>
          </w:p>
        </w:tc>
      </w:tr>
      <w:tr w:rsidR="00AF54BB" w:rsidRPr="00FA2D0D" w:rsidTr="00CE7016">
        <w:trPr>
          <w:trHeight w:val="210"/>
          <w:jc w:val="center"/>
        </w:trPr>
        <w:tc>
          <w:tcPr>
            <w:tcW w:w="283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597"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191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856"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sz w:val="24"/>
                <w:szCs w:val="24"/>
              </w:rPr>
            </w:pPr>
          </w:p>
        </w:tc>
      </w:tr>
      <w:tr w:rsidR="00AF54BB" w:rsidRPr="00FA2D0D" w:rsidTr="00CE7016">
        <w:trPr>
          <w:trHeight w:val="584"/>
          <w:jc w:val="center"/>
        </w:trPr>
        <w:tc>
          <w:tcPr>
            <w:tcW w:w="2838" w:type="dxa"/>
            <w:tcBorders>
              <w:top w:val="nil"/>
              <w:left w:val="nil"/>
              <w:bottom w:val="nil"/>
              <w:right w:val="nil"/>
            </w:tcBorders>
            <w:shd w:val="clear" w:color="auto" w:fill="996600"/>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Agricultura</w:t>
            </w:r>
          </w:p>
        </w:tc>
        <w:tc>
          <w:tcPr>
            <w:tcW w:w="2597" w:type="dxa"/>
            <w:tcBorders>
              <w:top w:val="nil"/>
              <w:left w:val="nil"/>
              <w:bottom w:val="nil"/>
              <w:right w:val="nil"/>
            </w:tcBorders>
            <w:shd w:val="clear" w:color="auto" w:fill="996600"/>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80.17</w:t>
            </w:r>
          </w:p>
        </w:tc>
        <w:tc>
          <w:tcPr>
            <w:tcW w:w="1918" w:type="dxa"/>
            <w:tcBorders>
              <w:top w:val="nil"/>
              <w:left w:val="nil"/>
              <w:bottom w:val="nil"/>
              <w:right w:val="nil"/>
            </w:tcBorders>
            <w:shd w:val="clear" w:color="auto" w:fill="996600"/>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8.93</w:t>
            </w:r>
          </w:p>
        </w:tc>
        <w:tc>
          <w:tcPr>
            <w:tcW w:w="2856" w:type="dxa"/>
            <w:tcBorders>
              <w:top w:val="nil"/>
              <w:left w:val="nil"/>
              <w:bottom w:val="nil"/>
              <w:right w:val="nil"/>
            </w:tcBorders>
            <w:shd w:val="clear" w:color="auto" w:fill="996600"/>
            <w:tcMar>
              <w:top w:w="72" w:type="dxa"/>
              <w:left w:w="144" w:type="dxa"/>
              <w:bottom w:w="72" w:type="dxa"/>
              <w:right w:w="144" w:type="dxa"/>
            </w:tcMar>
            <w:hideMark/>
          </w:tcPr>
          <w:p w:rsidR="00AF54BB" w:rsidRPr="00FA2D0D" w:rsidRDefault="00AF54BB" w:rsidP="00CE7016">
            <w:pPr>
              <w:pStyle w:val="NormalWeb"/>
              <w:spacing w:before="0" w:beforeAutospacing="0" w:after="0" w:afterAutospacing="0"/>
              <w:jc w:val="both"/>
              <w:rPr>
                <w:rFonts w:ascii="Arial" w:hAnsi="Arial" w:cs="Arial"/>
              </w:rPr>
            </w:pPr>
            <w:r w:rsidRPr="00FA2D0D">
              <w:rPr>
                <w:rFonts w:ascii="Arial" w:hAnsi="Arial" w:cs="Arial"/>
                <w:color w:val="FFFFFF"/>
                <w:kern w:val="24"/>
                <w:lang w:val="es-ES"/>
              </w:rPr>
              <w:t>89.10</w:t>
            </w:r>
          </w:p>
        </w:tc>
      </w:tr>
      <w:tr w:rsidR="00AF54BB" w:rsidRPr="00FA2D0D" w:rsidTr="00CE7016">
        <w:trPr>
          <w:trHeight w:val="210"/>
          <w:jc w:val="center"/>
        </w:trPr>
        <w:tc>
          <w:tcPr>
            <w:tcW w:w="283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597"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191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856"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sz w:val="24"/>
                <w:szCs w:val="24"/>
              </w:rPr>
            </w:pPr>
          </w:p>
        </w:tc>
      </w:tr>
      <w:tr w:rsidR="00AF54BB" w:rsidRPr="00FA2D0D" w:rsidTr="00CE7016">
        <w:trPr>
          <w:trHeight w:val="584"/>
          <w:jc w:val="center"/>
        </w:trPr>
        <w:tc>
          <w:tcPr>
            <w:tcW w:w="2838" w:type="dxa"/>
            <w:tcBorders>
              <w:top w:val="nil"/>
              <w:left w:val="nil"/>
              <w:bottom w:val="nil"/>
              <w:right w:val="nil"/>
            </w:tcBorders>
            <w:shd w:val="clear" w:color="auto" w:fill="953735"/>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Residuos</w:t>
            </w:r>
          </w:p>
        </w:tc>
        <w:tc>
          <w:tcPr>
            <w:tcW w:w="2597" w:type="dxa"/>
            <w:tcBorders>
              <w:top w:val="nil"/>
              <w:left w:val="nil"/>
              <w:bottom w:val="nil"/>
              <w:right w:val="nil"/>
            </w:tcBorders>
            <w:shd w:val="clear" w:color="auto" w:fill="953735"/>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30.90</w:t>
            </w:r>
          </w:p>
        </w:tc>
        <w:tc>
          <w:tcPr>
            <w:tcW w:w="1918" w:type="dxa"/>
            <w:tcBorders>
              <w:top w:val="nil"/>
              <w:left w:val="nil"/>
              <w:bottom w:val="nil"/>
              <w:right w:val="nil"/>
            </w:tcBorders>
            <w:shd w:val="clear" w:color="auto" w:fill="953735"/>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0.20</w:t>
            </w:r>
          </w:p>
        </w:tc>
        <w:tc>
          <w:tcPr>
            <w:tcW w:w="2856" w:type="dxa"/>
            <w:tcBorders>
              <w:top w:val="nil"/>
              <w:left w:val="nil"/>
              <w:bottom w:val="nil"/>
              <w:right w:val="nil"/>
            </w:tcBorders>
            <w:shd w:val="clear" w:color="auto" w:fill="953735"/>
            <w:tcMar>
              <w:top w:w="72" w:type="dxa"/>
              <w:left w:w="144" w:type="dxa"/>
              <w:bottom w:w="72" w:type="dxa"/>
              <w:right w:w="144" w:type="dxa"/>
            </w:tcMar>
            <w:hideMark/>
          </w:tcPr>
          <w:p w:rsidR="00AF54BB" w:rsidRPr="00FA2D0D" w:rsidRDefault="00AF54BB" w:rsidP="00CE7016">
            <w:pPr>
              <w:pStyle w:val="NormalWeb"/>
              <w:spacing w:before="0" w:beforeAutospacing="0" w:after="0" w:afterAutospacing="0"/>
              <w:jc w:val="both"/>
              <w:rPr>
                <w:rFonts w:ascii="Arial" w:hAnsi="Arial" w:cs="Arial"/>
              </w:rPr>
            </w:pPr>
            <w:r w:rsidRPr="00FA2D0D">
              <w:rPr>
                <w:rFonts w:ascii="Arial" w:hAnsi="Arial" w:cs="Arial"/>
                <w:color w:val="FFFFFF"/>
                <w:kern w:val="24"/>
                <w:lang w:val="es-ES"/>
              </w:rPr>
              <w:t>31.11</w:t>
            </w:r>
          </w:p>
        </w:tc>
      </w:tr>
      <w:tr w:rsidR="00AF54BB" w:rsidRPr="00FA2D0D" w:rsidTr="00CE7016">
        <w:trPr>
          <w:trHeight w:val="193"/>
          <w:jc w:val="center"/>
        </w:trPr>
        <w:tc>
          <w:tcPr>
            <w:tcW w:w="283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597"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191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856"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sz w:val="24"/>
                <w:szCs w:val="24"/>
              </w:rPr>
            </w:pPr>
          </w:p>
        </w:tc>
      </w:tr>
      <w:tr w:rsidR="00AF54BB" w:rsidRPr="00FA2D0D" w:rsidTr="00CE7016">
        <w:trPr>
          <w:trHeight w:val="584"/>
          <w:jc w:val="center"/>
        </w:trPr>
        <w:tc>
          <w:tcPr>
            <w:tcW w:w="2838" w:type="dxa"/>
            <w:tcBorders>
              <w:top w:val="nil"/>
              <w:left w:val="nil"/>
              <w:bottom w:val="nil"/>
              <w:right w:val="nil"/>
            </w:tcBorders>
            <w:shd w:val="clear" w:color="auto" w:fill="59993D"/>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Uso del Suelo, Cambio de Uso del Suelo y Silvicultura</w:t>
            </w:r>
          </w:p>
        </w:tc>
        <w:tc>
          <w:tcPr>
            <w:tcW w:w="2597" w:type="dxa"/>
            <w:tcBorders>
              <w:top w:val="nil"/>
              <w:left w:val="nil"/>
              <w:bottom w:val="nil"/>
              <w:right w:val="nil"/>
            </w:tcBorders>
            <w:shd w:val="clear" w:color="auto" w:fill="59993D"/>
            <w:tcMar>
              <w:top w:w="72" w:type="dxa"/>
              <w:left w:w="144" w:type="dxa"/>
              <w:bottom w:w="72" w:type="dxa"/>
              <w:right w:w="144" w:type="dxa"/>
            </w:tcMar>
            <w:vAlign w:val="cente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-140.57</w:t>
            </w:r>
          </w:p>
        </w:tc>
        <w:tc>
          <w:tcPr>
            <w:tcW w:w="1918" w:type="dxa"/>
            <w:tcBorders>
              <w:top w:val="nil"/>
              <w:left w:val="nil"/>
              <w:bottom w:val="nil"/>
              <w:right w:val="nil"/>
            </w:tcBorders>
            <w:shd w:val="clear" w:color="auto" w:fill="59993D"/>
            <w:tcMar>
              <w:top w:w="72" w:type="dxa"/>
              <w:left w:w="144" w:type="dxa"/>
              <w:bottom w:w="72" w:type="dxa"/>
              <w:right w:w="144" w:type="dxa"/>
            </w:tcMar>
            <w:vAlign w:val="cente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6.37</w:t>
            </w:r>
          </w:p>
        </w:tc>
        <w:tc>
          <w:tcPr>
            <w:tcW w:w="2856" w:type="dxa"/>
            <w:tcBorders>
              <w:top w:val="nil"/>
              <w:left w:val="nil"/>
              <w:bottom w:val="nil"/>
              <w:right w:val="nil"/>
            </w:tcBorders>
            <w:shd w:val="clear" w:color="auto" w:fill="59993D"/>
            <w:tcMar>
              <w:top w:w="72" w:type="dxa"/>
              <w:left w:w="144" w:type="dxa"/>
              <w:bottom w:w="72" w:type="dxa"/>
              <w:right w:w="144" w:type="dxa"/>
            </w:tcMar>
            <w:vAlign w:val="center"/>
            <w:hideMark/>
          </w:tcPr>
          <w:p w:rsidR="00AF54BB" w:rsidRPr="00FA2D0D" w:rsidRDefault="00AF54BB" w:rsidP="00CE7016">
            <w:pPr>
              <w:pStyle w:val="NormalWeb"/>
              <w:spacing w:before="0" w:beforeAutospacing="0" w:after="0" w:afterAutospacing="0"/>
              <w:jc w:val="both"/>
              <w:rPr>
                <w:rFonts w:ascii="Arial" w:hAnsi="Arial" w:cs="Arial"/>
              </w:rPr>
            </w:pPr>
            <w:r w:rsidRPr="00FA2D0D">
              <w:rPr>
                <w:rFonts w:ascii="Arial" w:hAnsi="Arial" w:cs="Arial"/>
                <w:color w:val="FFFFFF" w:themeColor="background1"/>
                <w:kern w:val="24"/>
                <w:lang w:val="es-ES"/>
              </w:rPr>
              <w:t>-134.20</w:t>
            </w:r>
          </w:p>
        </w:tc>
      </w:tr>
      <w:tr w:rsidR="00AF54BB" w:rsidRPr="00FA2D0D" w:rsidTr="00CE7016">
        <w:trPr>
          <w:trHeight w:val="227"/>
          <w:jc w:val="center"/>
        </w:trPr>
        <w:tc>
          <w:tcPr>
            <w:tcW w:w="283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597"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191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p>
        </w:tc>
        <w:tc>
          <w:tcPr>
            <w:tcW w:w="2856"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sz w:val="24"/>
                <w:szCs w:val="24"/>
              </w:rPr>
            </w:pPr>
          </w:p>
        </w:tc>
      </w:tr>
      <w:tr w:rsidR="00AF54BB" w:rsidRPr="00FA2D0D" w:rsidTr="00CE7016">
        <w:trPr>
          <w:trHeight w:val="584"/>
          <w:jc w:val="center"/>
        </w:trPr>
        <w:tc>
          <w:tcPr>
            <w:tcW w:w="2838" w:type="dxa"/>
            <w:tcBorders>
              <w:top w:val="nil"/>
              <w:left w:val="nil"/>
              <w:bottom w:val="nil"/>
              <w:right w:val="nil"/>
            </w:tcBorders>
            <w:shd w:val="clear" w:color="auto" w:fill="auto"/>
            <w:tcMar>
              <w:top w:w="72" w:type="dxa"/>
              <w:left w:w="144" w:type="dxa"/>
              <w:bottom w:w="72" w:type="dxa"/>
              <w:right w:w="144" w:type="dxa"/>
            </w:tcMa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TOTAL</w:t>
            </w:r>
          </w:p>
        </w:tc>
        <w:tc>
          <w:tcPr>
            <w:tcW w:w="2597" w:type="dxa"/>
            <w:tcBorders>
              <w:top w:val="nil"/>
              <w:left w:val="nil"/>
              <w:bottom w:val="nil"/>
              <w:right w:val="nil"/>
            </w:tcBorders>
            <w:shd w:val="clear" w:color="auto" w:fill="A6A6A6"/>
            <w:tcMar>
              <w:top w:w="72" w:type="dxa"/>
              <w:left w:w="144" w:type="dxa"/>
              <w:bottom w:w="72" w:type="dxa"/>
              <w:right w:w="144" w:type="dxa"/>
            </w:tcMar>
            <w:vAlign w:val="cente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489.18</w:t>
            </w:r>
          </w:p>
        </w:tc>
        <w:tc>
          <w:tcPr>
            <w:tcW w:w="1918" w:type="dxa"/>
            <w:tcBorders>
              <w:top w:val="nil"/>
              <w:left w:val="nil"/>
              <w:bottom w:val="nil"/>
              <w:right w:val="nil"/>
            </w:tcBorders>
            <w:shd w:val="clear" w:color="auto" w:fill="595959"/>
            <w:tcMar>
              <w:top w:w="72" w:type="dxa"/>
              <w:left w:w="144" w:type="dxa"/>
              <w:bottom w:w="72" w:type="dxa"/>
              <w:right w:w="144" w:type="dxa"/>
            </w:tcMar>
            <w:vAlign w:val="center"/>
            <w:hideMark/>
          </w:tcPr>
          <w:p w:rsidR="00AF54BB" w:rsidRPr="00FA2D0D" w:rsidRDefault="00AF54BB" w:rsidP="00CE7016">
            <w:pPr>
              <w:jc w:val="both"/>
              <w:rPr>
                <w:rFonts w:ascii="Arial" w:hAnsi="Arial" w:cs="Arial"/>
                <w:b/>
                <w:bCs/>
                <w:smallCaps/>
                <w:color w:val="000000" w:themeColor="text1"/>
                <w:kern w:val="24"/>
                <w:sz w:val="24"/>
                <w:szCs w:val="24"/>
              </w:rPr>
            </w:pPr>
            <w:r w:rsidRPr="00FA2D0D">
              <w:rPr>
                <w:rFonts w:ascii="Arial" w:hAnsi="Arial" w:cs="Arial"/>
                <w:b/>
                <w:bCs/>
                <w:smallCaps/>
                <w:color w:val="000000" w:themeColor="text1"/>
                <w:kern w:val="24"/>
                <w:sz w:val="24"/>
                <w:szCs w:val="24"/>
                <w:lang w:val="es-ES"/>
              </w:rPr>
              <w:t>119.05</w:t>
            </w:r>
          </w:p>
        </w:tc>
        <w:tc>
          <w:tcPr>
            <w:tcW w:w="2856" w:type="dxa"/>
            <w:tcBorders>
              <w:top w:val="nil"/>
              <w:left w:val="nil"/>
              <w:bottom w:val="nil"/>
              <w:right w:val="nil"/>
            </w:tcBorders>
            <w:shd w:val="clear" w:color="auto" w:fill="000000"/>
            <w:tcMar>
              <w:top w:w="72" w:type="dxa"/>
              <w:left w:w="144" w:type="dxa"/>
              <w:bottom w:w="72" w:type="dxa"/>
              <w:right w:w="144" w:type="dxa"/>
            </w:tcMar>
            <w:vAlign w:val="center"/>
            <w:hideMark/>
          </w:tcPr>
          <w:p w:rsidR="00AF54BB" w:rsidRPr="00FA2D0D" w:rsidRDefault="00AF54BB" w:rsidP="00CE7016">
            <w:pPr>
              <w:pStyle w:val="NormalWeb"/>
              <w:spacing w:before="0" w:beforeAutospacing="0" w:after="0" w:afterAutospacing="0"/>
              <w:jc w:val="both"/>
              <w:rPr>
                <w:rFonts w:ascii="Arial" w:hAnsi="Arial" w:cs="Arial"/>
              </w:rPr>
            </w:pPr>
            <w:r w:rsidRPr="00FA2D0D">
              <w:rPr>
                <w:rFonts w:ascii="Arial" w:hAnsi="Arial" w:cs="Arial"/>
                <w:b/>
                <w:bCs/>
                <w:color w:val="FFFFFF"/>
                <w:kern w:val="24"/>
                <w:lang w:val="es-ES"/>
              </w:rPr>
              <w:t>608.23</w:t>
            </w:r>
          </w:p>
        </w:tc>
      </w:tr>
    </w:tbl>
    <w:p w:rsidR="00AF54BB" w:rsidRPr="00FA2D0D" w:rsidRDefault="00AF54BB" w:rsidP="00AF54BB">
      <w:pPr>
        <w:jc w:val="both"/>
        <w:rPr>
          <w:rFonts w:ascii="Arial" w:hAnsi="Arial" w:cs="Arial"/>
          <w:b/>
          <w:bCs/>
          <w:smallCaps/>
          <w:color w:val="000000" w:themeColor="text1"/>
          <w:kern w:val="24"/>
          <w:sz w:val="24"/>
          <w:szCs w:val="24"/>
          <w:lang w:val="es-ES"/>
        </w:rPr>
      </w:pPr>
    </w:p>
    <w:p w:rsidR="00AF54BB" w:rsidRPr="00FA2D0D" w:rsidRDefault="00AF54BB" w:rsidP="00AF54BB">
      <w:pPr>
        <w:jc w:val="both"/>
        <w:rPr>
          <w:rFonts w:ascii="Arial" w:hAnsi="Arial" w:cs="Arial"/>
          <w:b/>
          <w:bCs/>
          <w:smallCaps/>
          <w:color w:val="000000" w:themeColor="text1"/>
          <w:kern w:val="24"/>
          <w:sz w:val="24"/>
          <w:szCs w:val="24"/>
          <w:lang w:val="es-ES"/>
        </w:rPr>
      </w:pPr>
    </w:p>
    <w:p w:rsidR="00AF54BB" w:rsidRPr="00FA2D0D" w:rsidRDefault="00AF54BB" w:rsidP="00AF54BB">
      <w:pPr>
        <w:jc w:val="both"/>
        <w:rPr>
          <w:rFonts w:ascii="Arial" w:hAnsi="Arial" w:cs="Arial"/>
          <w:sz w:val="24"/>
          <w:szCs w:val="24"/>
        </w:rPr>
      </w:pPr>
    </w:p>
    <w:p w:rsidR="00AF54BB" w:rsidRPr="00FA2D0D" w:rsidRDefault="00AF54BB" w:rsidP="00AF54BB">
      <w:pPr>
        <w:jc w:val="both"/>
        <w:rPr>
          <w:rFonts w:ascii="Arial" w:hAnsi="Arial" w:cs="Arial"/>
          <w:sz w:val="24"/>
          <w:szCs w:val="24"/>
        </w:rPr>
      </w:pPr>
      <w:r w:rsidRPr="00FA2D0D">
        <w:rPr>
          <w:rFonts w:ascii="Arial" w:hAnsi="Arial" w:cs="Arial"/>
          <w:sz w:val="24"/>
          <w:szCs w:val="24"/>
        </w:rPr>
        <w:lastRenderedPageBreak/>
        <w:t xml:space="preserve">La propuesta del anteproyecto de  </w:t>
      </w:r>
      <w:r w:rsidRPr="00FA2D0D">
        <w:rPr>
          <w:rFonts w:ascii="Arial" w:hAnsi="Arial" w:cs="Arial"/>
          <w:b/>
          <w:i/>
          <w:sz w:val="24"/>
          <w:szCs w:val="24"/>
        </w:rPr>
        <w:t>Acuerdo establece los Gases o Compuestos de Efecto Invernadero que se agrupan para efectos de reporte de emisiones, así como sus potenciales de calentamiento</w:t>
      </w:r>
      <w:r w:rsidRPr="00FA2D0D">
        <w:rPr>
          <w:rFonts w:ascii="Arial" w:hAnsi="Arial" w:cs="Arial"/>
          <w:sz w:val="24"/>
          <w:szCs w:val="24"/>
        </w:rPr>
        <w:t xml:space="preserve">, tiene por objeto definir las diversas familias químicas los Gases o Compuestos de Efecto Invernadero que deben ser declaradas al Registro Nacional de Emisiones. Así como el observar para el cálculo de dichas emisiones los potenciales de calentamiento que se establecen.   El Acuerdo permite diferenciar cada una de las sustancias químicas conforme a un identificador numérico internacionalmente aceptado y definido por asociaciones especialistas en la materia. Asimismo, por sustancia se establece: la fórmula química, la familia química a la que pertenece y su potencial de calentamiento global. </w:t>
      </w:r>
    </w:p>
    <w:p w:rsidR="00AF54BB" w:rsidRDefault="00AF54BB" w:rsidP="00AF54BB">
      <w:pPr>
        <w:jc w:val="both"/>
        <w:rPr>
          <w:rFonts w:ascii="Arial" w:hAnsi="Arial" w:cs="Arial"/>
          <w:sz w:val="24"/>
          <w:szCs w:val="24"/>
        </w:rPr>
      </w:pPr>
      <w:r w:rsidRPr="00FA2D0D">
        <w:rPr>
          <w:rFonts w:ascii="Arial" w:hAnsi="Arial" w:cs="Arial"/>
          <w:sz w:val="24"/>
          <w:szCs w:val="24"/>
        </w:rPr>
        <w:t>Cada una de las características anteriormente enunciadas de las sustancias es congruen</w:t>
      </w:r>
      <w:r>
        <w:rPr>
          <w:rFonts w:ascii="Arial" w:hAnsi="Arial" w:cs="Arial"/>
          <w:sz w:val="24"/>
          <w:szCs w:val="24"/>
        </w:rPr>
        <w:t xml:space="preserve">te con lo publicado en el </w:t>
      </w:r>
      <w:r w:rsidRPr="000E6C69">
        <w:rPr>
          <w:rFonts w:ascii="Arial" w:hAnsi="Arial" w:cs="Arial"/>
          <w:sz w:val="24"/>
          <w:szCs w:val="24"/>
        </w:rPr>
        <w:t xml:space="preserve">Quinto Reporte de Evaluación del Panel Intergubernamental de Cambio Climático (IPCC) (aquí disponible: </w:t>
      </w:r>
      <w:hyperlink r:id="rId8" w:history="1">
        <w:r w:rsidRPr="000E6C69">
          <w:rPr>
            <w:rFonts w:ascii="Arial" w:hAnsi="Arial" w:cs="Arial"/>
            <w:color w:val="548DD4" w:themeColor="text2" w:themeTint="99"/>
            <w:sz w:val="20"/>
            <w:szCs w:val="20"/>
          </w:rPr>
          <w:t>http://www.ipcc.ch/pdf/assessment-report/ar5/wg1/WG1AR5_Chapter08_FINAL.pdf</w:t>
        </w:r>
      </w:hyperlink>
      <w:r w:rsidRPr="000E6C69">
        <w:rPr>
          <w:rFonts w:ascii="Arial" w:hAnsi="Arial" w:cs="Arial"/>
          <w:color w:val="548DD4" w:themeColor="text2" w:themeTint="99"/>
          <w:sz w:val="20"/>
          <w:szCs w:val="20"/>
        </w:rPr>
        <w:t>).</w:t>
      </w:r>
      <w:r w:rsidRPr="000E6C69">
        <w:rPr>
          <w:color w:val="548DD4" w:themeColor="text2" w:themeTint="99"/>
        </w:rPr>
        <w:t xml:space="preserve"> </w:t>
      </w:r>
    </w:p>
    <w:p w:rsidR="0011083B" w:rsidRDefault="0011083B"/>
    <w:sectPr w:rsidR="001108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34" w:rsidRDefault="00757734" w:rsidP="00AF54BB">
      <w:pPr>
        <w:spacing w:after="0" w:line="240" w:lineRule="auto"/>
      </w:pPr>
      <w:r>
        <w:separator/>
      </w:r>
    </w:p>
  </w:endnote>
  <w:endnote w:type="continuationSeparator" w:id="0">
    <w:p w:rsidR="00757734" w:rsidRDefault="00757734" w:rsidP="00AF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34" w:rsidRDefault="00757734" w:rsidP="00AF54BB">
      <w:pPr>
        <w:spacing w:after="0" w:line="240" w:lineRule="auto"/>
      </w:pPr>
      <w:r>
        <w:separator/>
      </w:r>
    </w:p>
  </w:footnote>
  <w:footnote w:type="continuationSeparator" w:id="0">
    <w:p w:rsidR="00757734" w:rsidRDefault="00757734" w:rsidP="00AF54BB">
      <w:pPr>
        <w:spacing w:after="0" w:line="240" w:lineRule="auto"/>
      </w:pPr>
      <w:r>
        <w:continuationSeparator/>
      </w:r>
    </w:p>
  </w:footnote>
  <w:footnote w:id="1">
    <w:p w:rsidR="00AF54BB" w:rsidRDefault="00AF54BB" w:rsidP="00AF54BB">
      <w:pPr>
        <w:pStyle w:val="Textonotapie"/>
      </w:pPr>
      <w:r>
        <w:rPr>
          <w:rStyle w:val="Refdenotaalpie"/>
        </w:rPr>
        <w:footnoteRef/>
      </w:r>
      <w:r>
        <w:t xml:space="preserve"> Publicada en el Diario Oficial de la Federación el miércoles 6 de junio de 2012.</w:t>
      </w:r>
    </w:p>
  </w:footnote>
  <w:footnote w:id="2">
    <w:p w:rsidR="00AF54BB" w:rsidRDefault="00AF54BB" w:rsidP="00AF54BB">
      <w:pPr>
        <w:pStyle w:val="Textonotapie"/>
      </w:pPr>
    </w:p>
  </w:footnote>
  <w:footnote w:id="3">
    <w:p w:rsidR="00AF54BB" w:rsidRDefault="00AF54BB" w:rsidP="00AF54BB">
      <w:pPr>
        <w:pStyle w:val="Textonotapie"/>
      </w:pPr>
      <w:r>
        <w:rPr>
          <w:rStyle w:val="Refdenotaalpie"/>
        </w:rPr>
        <w:footnoteRef/>
      </w:r>
      <w:r>
        <w:t xml:space="preserve"> Publicado en el Diario Oficial de la Federación el 28 de octubre de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7C4"/>
    <w:multiLevelType w:val="hybridMultilevel"/>
    <w:tmpl w:val="86A012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BB"/>
    <w:rsid w:val="0011083B"/>
    <w:rsid w:val="00757734"/>
    <w:rsid w:val="00AF5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B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4BB"/>
    <w:pPr>
      <w:ind w:left="720"/>
      <w:contextualSpacing/>
    </w:pPr>
  </w:style>
  <w:style w:type="paragraph" w:styleId="Textonotapie">
    <w:name w:val="footnote text"/>
    <w:basedOn w:val="Normal"/>
    <w:link w:val="TextonotapieCar"/>
    <w:uiPriority w:val="99"/>
    <w:semiHidden/>
    <w:unhideWhenUsed/>
    <w:rsid w:val="00AF54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54BB"/>
    <w:rPr>
      <w:rFonts w:eastAsiaTheme="minorEastAsia"/>
      <w:sz w:val="20"/>
      <w:szCs w:val="20"/>
      <w:lang w:eastAsia="es-MX"/>
    </w:rPr>
  </w:style>
  <w:style w:type="character" w:styleId="Refdenotaalpie">
    <w:name w:val="footnote reference"/>
    <w:basedOn w:val="Fuentedeprrafopredeter"/>
    <w:uiPriority w:val="99"/>
    <w:semiHidden/>
    <w:unhideWhenUsed/>
    <w:rsid w:val="00AF54BB"/>
    <w:rPr>
      <w:vertAlign w:val="superscript"/>
    </w:rPr>
  </w:style>
  <w:style w:type="paragraph" w:styleId="NormalWeb">
    <w:name w:val="Normal (Web)"/>
    <w:basedOn w:val="Normal"/>
    <w:uiPriority w:val="99"/>
    <w:unhideWhenUsed/>
    <w:rsid w:val="00AF54B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B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4BB"/>
    <w:pPr>
      <w:ind w:left="720"/>
      <w:contextualSpacing/>
    </w:pPr>
  </w:style>
  <w:style w:type="paragraph" w:styleId="Textonotapie">
    <w:name w:val="footnote text"/>
    <w:basedOn w:val="Normal"/>
    <w:link w:val="TextonotapieCar"/>
    <w:uiPriority w:val="99"/>
    <w:semiHidden/>
    <w:unhideWhenUsed/>
    <w:rsid w:val="00AF54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54BB"/>
    <w:rPr>
      <w:rFonts w:eastAsiaTheme="minorEastAsia"/>
      <w:sz w:val="20"/>
      <w:szCs w:val="20"/>
      <w:lang w:eastAsia="es-MX"/>
    </w:rPr>
  </w:style>
  <w:style w:type="character" w:styleId="Refdenotaalpie">
    <w:name w:val="footnote reference"/>
    <w:basedOn w:val="Fuentedeprrafopredeter"/>
    <w:uiPriority w:val="99"/>
    <w:semiHidden/>
    <w:unhideWhenUsed/>
    <w:rsid w:val="00AF54BB"/>
    <w:rPr>
      <w:vertAlign w:val="superscript"/>
    </w:rPr>
  </w:style>
  <w:style w:type="paragraph" w:styleId="NormalWeb">
    <w:name w:val="Normal (Web)"/>
    <w:basedOn w:val="Normal"/>
    <w:uiPriority w:val="99"/>
    <w:unhideWhenUsed/>
    <w:rsid w:val="00AF54B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ch/pdf/assessment-report/ar5/wg1/WG1AR5_Chapter08_FINA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 Navarrete Hernández</dc:creator>
  <cp:lastModifiedBy>María Alejandra Navarrete Hernández</cp:lastModifiedBy>
  <cp:revision>1</cp:revision>
  <dcterms:created xsi:type="dcterms:W3CDTF">2015-05-25T17:31:00Z</dcterms:created>
  <dcterms:modified xsi:type="dcterms:W3CDTF">2015-05-25T17:32:00Z</dcterms:modified>
</cp:coreProperties>
</file>