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5EF0" w14:textId="77777777" w:rsidR="00357A0B" w:rsidRPr="00A16FAB" w:rsidRDefault="00357A0B" w:rsidP="004743E1">
      <w:pPr>
        <w:pStyle w:val="Style8"/>
        <w:widowControl/>
        <w:spacing w:line="0" w:lineRule="atLeast"/>
        <w:mirrorIndents/>
        <w:rPr>
          <w:rStyle w:val="FontStyle12"/>
          <w:spacing w:val="-2"/>
          <w:sz w:val="24"/>
          <w:szCs w:val="24"/>
          <w:lang w:val="es-ES_tradnl" w:eastAsia="es-ES_tradnl"/>
        </w:rPr>
      </w:pPr>
    </w:p>
    <w:p w14:paraId="00EC0711" w14:textId="55BB7515" w:rsidR="00DE17D4" w:rsidRPr="00FB2439" w:rsidRDefault="005D3867" w:rsidP="00F17D77">
      <w:pPr>
        <w:pStyle w:val="Style8"/>
        <w:widowControl/>
        <w:spacing w:line="0" w:lineRule="atLeast"/>
        <w:mirrorIndents/>
        <w:rPr>
          <w:rStyle w:val="FontStyle12"/>
          <w:sz w:val="24"/>
          <w:szCs w:val="24"/>
          <w:lang w:val="es-ES_tradnl" w:eastAsia="es-ES_tradnl"/>
        </w:rPr>
      </w:pPr>
      <w:r>
        <w:rPr>
          <w:rStyle w:val="FontStyle12"/>
          <w:spacing w:val="-2"/>
          <w:sz w:val="24"/>
          <w:szCs w:val="24"/>
          <w:lang w:val="es-ES_tradnl" w:eastAsia="es-ES_tradnl"/>
        </w:rPr>
        <w:t>ACUERDO</w:t>
      </w:r>
      <w:r w:rsidR="000A143D" w:rsidRPr="00DD467A">
        <w:rPr>
          <w:rStyle w:val="FontStyle12"/>
          <w:spacing w:val="-2"/>
          <w:sz w:val="24"/>
          <w:szCs w:val="24"/>
          <w:lang w:val="es-ES_tradnl" w:eastAsia="es-ES_tradnl"/>
        </w:rPr>
        <w:t xml:space="preserve"> </w:t>
      </w:r>
      <w:r w:rsidR="002623CD">
        <w:rPr>
          <w:rStyle w:val="FontStyle12"/>
          <w:spacing w:val="-2"/>
          <w:sz w:val="24"/>
          <w:szCs w:val="24"/>
          <w:lang w:val="es-ES_tradnl" w:eastAsia="es-ES_tradnl"/>
        </w:rPr>
        <w:t xml:space="preserve">DE LA COMISIÓN REGULADORA DE ENERGÍA </w:t>
      </w:r>
      <w:r w:rsidR="00DB2302">
        <w:rPr>
          <w:rStyle w:val="FontStyle12"/>
          <w:spacing w:val="-2"/>
          <w:sz w:val="24"/>
          <w:szCs w:val="24"/>
          <w:lang w:val="es-ES_tradnl" w:eastAsia="es-ES_tradnl"/>
        </w:rPr>
        <w:t xml:space="preserve">QUE </w:t>
      </w:r>
      <w:r>
        <w:rPr>
          <w:rStyle w:val="FontStyle12"/>
          <w:spacing w:val="-2"/>
          <w:sz w:val="24"/>
          <w:szCs w:val="24"/>
          <w:lang w:val="es-ES_tradnl" w:eastAsia="es-ES_tradnl"/>
        </w:rPr>
        <w:t>MODIFICA</w:t>
      </w:r>
      <w:r w:rsidR="00E028F0">
        <w:rPr>
          <w:rStyle w:val="FontStyle12"/>
          <w:spacing w:val="-2"/>
          <w:sz w:val="24"/>
          <w:szCs w:val="24"/>
          <w:lang w:val="es-ES_tradnl" w:eastAsia="es-ES_tradnl"/>
        </w:rPr>
        <w:t xml:space="preserve"> LA</w:t>
      </w:r>
      <w:r w:rsidR="00F403F7">
        <w:rPr>
          <w:rStyle w:val="FontStyle12"/>
          <w:spacing w:val="-2"/>
          <w:sz w:val="24"/>
          <w:szCs w:val="24"/>
          <w:lang w:val="es-ES_tradnl" w:eastAsia="es-ES_tradnl"/>
        </w:rPr>
        <w:t xml:space="preserve"> DISPOSICIÓN </w:t>
      </w:r>
      <w:r w:rsidR="00FB2439">
        <w:rPr>
          <w:rStyle w:val="FontStyle12"/>
          <w:spacing w:val="-2"/>
          <w:sz w:val="24"/>
          <w:szCs w:val="24"/>
          <w:lang w:val="es-ES_tradnl" w:eastAsia="es-ES_tradnl"/>
        </w:rPr>
        <w:t xml:space="preserve">SÉPTIMA TRANSITORIA DE LAS </w:t>
      </w:r>
      <w:r w:rsidR="00FB2439" w:rsidRPr="00FB2439">
        <w:rPr>
          <w:rStyle w:val="FontStyle12"/>
          <w:bCs w:val="0"/>
          <w:spacing w:val="-2"/>
          <w:sz w:val="24"/>
          <w:szCs w:val="24"/>
          <w:lang w:val="es-ES_tradnl" w:eastAsia="es-ES_tradnl"/>
        </w:rPr>
        <w:t>DISPOSICIONES ADMINISTRATIVAS DE CARÁCTER GENERAL EN MATERIA DE ACCESO ABIERTO Y PRESTACIÓN DE LOS SERVICIOS DE TRANSPORTE POR DUCTO Y ALMACENAMIENTO DE PETROLÍFEROS Y PETROQUÍMICOS</w:t>
      </w:r>
      <w:r w:rsidR="00FB2439">
        <w:rPr>
          <w:rStyle w:val="FontStyle12"/>
          <w:bCs w:val="0"/>
          <w:spacing w:val="-2"/>
          <w:sz w:val="24"/>
          <w:szCs w:val="24"/>
          <w:lang w:val="es-ES_tradnl" w:eastAsia="es-ES_tradnl"/>
        </w:rPr>
        <w:t xml:space="preserve"> MODIFICADA MEDIANTE LA</w:t>
      </w:r>
      <w:r w:rsidR="00E028F0">
        <w:rPr>
          <w:rStyle w:val="FontStyle12"/>
          <w:spacing w:val="-2"/>
          <w:sz w:val="24"/>
          <w:szCs w:val="24"/>
          <w:lang w:val="es-ES_tradnl" w:eastAsia="es-ES_tradnl"/>
        </w:rPr>
        <w:t xml:space="preserve"> </w:t>
      </w:r>
      <w:r w:rsidRPr="00FB2439">
        <w:rPr>
          <w:rStyle w:val="FontStyle12"/>
          <w:spacing w:val="-2"/>
          <w:sz w:val="24"/>
          <w:szCs w:val="24"/>
          <w:lang w:val="es-ES_tradnl" w:eastAsia="es-ES_tradnl"/>
        </w:rPr>
        <w:t>RESOLUCIÓN</w:t>
      </w:r>
      <w:r w:rsidR="00E028F0" w:rsidRPr="00FB2439">
        <w:rPr>
          <w:rStyle w:val="FontStyle12"/>
          <w:spacing w:val="-2"/>
          <w:sz w:val="24"/>
          <w:szCs w:val="24"/>
          <w:lang w:val="es-ES_tradnl" w:eastAsia="es-ES_tradnl"/>
        </w:rPr>
        <w:t xml:space="preserve"> RES/184/2016</w:t>
      </w:r>
      <w:r w:rsidR="0024727F">
        <w:rPr>
          <w:rStyle w:val="FontStyle12"/>
          <w:spacing w:val="-2"/>
          <w:sz w:val="24"/>
          <w:szCs w:val="24"/>
          <w:lang w:val="es-ES_tradnl" w:eastAsia="es-ES_tradnl"/>
        </w:rPr>
        <w:t>,</w:t>
      </w:r>
      <w:r w:rsidR="00E028F0" w:rsidRPr="00FB2439">
        <w:rPr>
          <w:rStyle w:val="FontStyle12"/>
          <w:spacing w:val="-2"/>
          <w:sz w:val="24"/>
          <w:szCs w:val="24"/>
          <w:lang w:val="es-ES_tradnl" w:eastAsia="es-ES_tradnl"/>
        </w:rPr>
        <w:t xml:space="preserve"> </w:t>
      </w:r>
      <w:r w:rsidR="009C1C44" w:rsidRPr="009E6E45">
        <w:rPr>
          <w:rStyle w:val="FontStyle12"/>
          <w:caps/>
          <w:spacing w:val="-2"/>
          <w:sz w:val="24"/>
          <w:szCs w:val="24"/>
          <w:lang w:val="es-ES_tradnl" w:eastAsia="es-ES_tradnl"/>
        </w:rPr>
        <w:t>Y</w:t>
      </w:r>
      <w:r w:rsidR="009E6E45">
        <w:rPr>
          <w:rStyle w:val="FontStyle12"/>
          <w:caps/>
          <w:spacing w:val="-2"/>
          <w:sz w:val="24"/>
          <w:szCs w:val="24"/>
          <w:lang w:val="es-ES_tradnl" w:eastAsia="es-ES_tradnl"/>
        </w:rPr>
        <w:t xml:space="preserve"> </w:t>
      </w:r>
      <w:r w:rsidR="009E6E45" w:rsidRPr="009E6E45">
        <w:rPr>
          <w:b/>
          <w:caps/>
        </w:rPr>
        <w:t xml:space="preserve">precisa la manera en que Pemex llevará a cabo la cesión </w:t>
      </w:r>
      <w:r w:rsidR="009C1C44" w:rsidRPr="00FB2439">
        <w:rPr>
          <w:rStyle w:val="FontStyle12"/>
          <w:spacing w:val="-2"/>
          <w:sz w:val="24"/>
          <w:szCs w:val="24"/>
          <w:lang w:val="es-ES_tradnl" w:eastAsia="es-ES_tradnl"/>
        </w:rPr>
        <w:t xml:space="preserve">DE CAPACIDAD DE TRANSPORTE POR DUCTO Y ALMACENAMIENTO A FAVOR DE TERCEROS QUE ABASTECERÁN </w:t>
      </w:r>
      <w:r w:rsidR="00FC1FBD">
        <w:rPr>
          <w:rStyle w:val="FontStyle12"/>
          <w:spacing w:val="-2"/>
          <w:sz w:val="24"/>
          <w:szCs w:val="24"/>
          <w:lang w:val="es-ES_tradnl" w:eastAsia="es-ES_tradnl"/>
        </w:rPr>
        <w:t xml:space="preserve">A DISTRIBUIDORES Y </w:t>
      </w:r>
      <w:r w:rsidR="009C1C44" w:rsidRPr="00FB2439">
        <w:rPr>
          <w:rStyle w:val="FontStyle12"/>
          <w:spacing w:val="-2"/>
          <w:sz w:val="24"/>
          <w:szCs w:val="24"/>
          <w:lang w:val="es-ES_tradnl" w:eastAsia="es-ES_tradnl"/>
        </w:rPr>
        <w:t>ESTACIONES DE SERVICIO QUE H</w:t>
      </w:r>
      <w:r w:rsidR="00C51742">
        <w:rPr>
          <w:rStyle w:val="FontStyle12"/>
          <w:spacing w:val="-2"/>
          <w:sz w:val="24"/>
          <w:szCs w:val="24"/>
          <w:lang w:val="es-ES_tradnl" w:eastAsia="es-ES_tradnl"/>
        </w:rPr>
        <w:t>AYAN</w:t>
      </w:r>
      <w:r w:rsidR="009C1C44" w:rsidRPr="00FB2439">
        <w:rPr>
          <w:rStyle w:val="FontStyle12"/>
          <w:spacing w:val="-2"/>
          <w:sz w:val="24"/>
          <w:szCs w:val="24"/>
          <w:lang w:val="es-ES_tradnl" w:eastAsia="es-ES_tradnl"/>
        </w:rPr>
        <w:t xml:space="preserve"> SIDO </w:t>
      </w:r>
      <w:r w:rsidR="00173EBF" w:rsidRPr="00FB2439">
        <w:rPr>
          <w:rStyle w:val="FontStyle12"/>
          <w:spacing w:val="-2"/>
          <w:sz w:val="24"/>
          <w:szCs w:val="24"/>
          <w:lang w:val="es-ES_tradnl" w:eastAsia="es-ES_tradnl"/>
        </w:rPr>
        <w:t>SUMINISTRAD</w:t>
      </w:r>
      <w:r w:rsidR="00173EBF">
        <w:rPr>
          <w:rStyle w:val="FontStyle12"/>
          <w:spacing w:val="-2"/>
          <w:sz w:val="24"/>
          <w:szCs w:val="24"/>
          <w:lang w:val="es-ES_tradnl" w:eastAsia="es-ES_tradnl"/>
        </w:rPr>
        <w:t>O</w:t>
      </w:r>
      <w:r w:rsidR="00173EBF" w:rsidRPr="00FB2439">
        <w:rPr>
          <w:rStyle w:val="FontStyle12"/>
          <w:spacing w:val="-2"/>
          <w:sz w:val="24"/>
          <w:szCs w:val="24"/>
          <w:lang w:val="es-ES_tradnl" w:eastAsia="es-ES_tradnl"/>
        </w:rPr>
        <w:t xml:space="preserve">S </w:t>
      </w:r>
      <w:r w:rsidR="00626D2F">
        <w:rPr>
          <w:rStyle w:val="FontStyle12"/>
          <w:spacing w:val="-2"/>
          <w:sz w:val="24"/>
          <w:szCs w:val="24"/>
          <w:lang w:val="es-ES_tradnl" w:eastAsia="es-ES_tradnl"/>
        </w:rPr>
        <w:t>HASTA ESE M</w:t>
      </w:r>
      <w:r w:rsidR="00C51742">
        <w:rPr>
          <w:rStyle w:val="FontStyle12"/>
          <w:spacing w:val="-2"/>
          <w:sz w:val="24"/>
          <w:szCs w:val="24"/>
          <w:lang w:val="es-ES_tradnl" w:eastAsia="es-ES_tradnl"/>
        </w:rPr>
        <w:t xml:space="preserve">OMENTO </w:t>
      </w:r>
      <w:r w:rsidR="009C1C44" w:rsidRPr="00FB2439">
        <w:rPr>
          <w:rStyle w:val="FontStyle12"/>
          <w:spacing w:val="-2"/>
          <w:sz w:val="24"/>
          <w:szCs w:val="24"/>
          <w:lang w:val="es-ES_tradnl" w:eastAsia="es-ES_tradnl"/>
        </w:rPr>
        <w:t>POR PEMEX TRANSFORMACIÓN INDUSTRIAL</w:t>
      </w:r>
      <w:r w:rsidR="00142CCD">
        <w:rPr>
          <w:rStyle w:val="FontStyle12"/>
          <w:spacing w:val="-2"/>
          <w:sz w:val="24"/>
          <w:szCs w:val="24"/>
          <w:lang w:val="es-ES_tradnl" w:eastAsia="es-ES_tradnl"/>
        </w:rPr>
        <w:t>.</w:t>
      </w:r>
    </w:p>
    <w:p w14:paraId="648F30F9" w14:textId="77777777" w:rsidR="00F45AFE" w:rsidRPr="00DD467A" w:rsidRDefault="00F45AFE" w:rsidP="004743E1">
      <w:pPr>
        <w:pStyle w:val="Style8"/>
        <w:widowControl/>
        <w:spacing w:line="0" w:lineRule="atLeast"/>
        <w:mirrorIndents/>
        <w:rPr>
          <w:rFonts w:cs="Arial"/>
          <w:spacing w:val="-2"/>
        </w:rPr>
      </w:pPr>
    </w:p>
    <w:p w14:paraId="64569DBE" w14:textId="77777777" w:rsidR="006166F3" w:rsidRPr="00DD467A" w:rsidRDefault="0024430A" w:rsidP="004743E1">
      <w:pPr>
        <w:pStyle w:val="Style1"/>
        <w:widowControl/>
        <w:spacing w:line="0" w:lineRule="atLeast"/>
        <w:mirrorIndents/>
        <w:jc w:val="center"/>
        <w:rPr>
          <w:rStyle w:val="FontStyle11"/>
          <w:spacing w:val="-2"/>
          <w:sz w:val="24"/>
          <w:szCs w:val="24"/>
          <w:lang w:val="es-ES_tradnl" w:eastAsia="es-ES_tradnl"/>
        </w:rPr>
      </w:pPr>
      <w:r w:rsidRPr="00DD467A">
        <w:rPr>
          <w:rStyle w:val="FontStyle11"/>
          <w:spacing w:val="-2"/>
          <w:sz w:val="24"/>
          <w:szCs w:val="24"/>
          <w:lang w:val="es-ES_tradnl" w:eastAsia="es-ES_tradnl"/>
        </w:rPr>
        <w:t xml:space="preserve">R E S U L T A N D O </w:t>
      </w:r>
    </w:p>
    <w:p w14:paraId="69EE6154" w14:textId="77777777" w:rsidR="00A47A6F" w:rsidRDefault="00A47A6F" w:rsidP="004743E1">
      <w:pPr>
        <w:pStyle w:val="Style6"/>
        <w:widowControl/>
        <w:spacing w:line="0" w:lineRule="atLeast"/>
        <w:mirrorIndents/>
        <w:rPr>
          <w:rFonts w:cs="Arial"/>
          <w:spacing w:val="-2"/>
        </w:rPr>
      </w:pPr>
    </w:p>
    <w:p w14:paraId="48C40869" w14:textId="2129953A" w:rsidR="007B4396" w:rsidRDefault="007B4396" w:rsidP="00F9793E">
      <w:pPr>
        <w:numPr>
          <w:ilvl w:val="0"/>
          <w:numId w:val="1"/>
        </w:numPr>
        <w:tabs>
          <w:tab w:val="left" w:pos="993"/>
        </w:tabs>
        <w:autoSpaceDE/>
        <w:autoSpaceDN/>
        <w:adjustRightInd/>
        <w:spacing w:line="0" w:lineRule="atLeast"/>
        <w:jc w:val="both"/>
        <w:rPr>
          <w:rFonts w:cs="Arial"/>
          <w:bCs/>
        </w:rPr>
      </w:pPr>
      <w:bookmarkStart w:id="0" w:name="_Ref448314319"/>
      <w:r>
        <w:rPr>
          <w:rFonts w:cs="Arial"/>
          <w:bCs/>
        </w:rPr>
        <w:t>Que el 11 de agosto de 2014, fueron publicadas en el Diario Oficial de la Federación (DOF) la Ley de Hidrocarburos (LH) y la Ley de los Órganos Reguladores Coordinados en Materia Energética (LORCME).</w:t>
      </w:r>
    </w:p>
    <w:p w14:paraId="534E858C" w14:textId="77777777" w:rsidR="007F4EA3" w:rsidRDefault="007F4EA3" w:rsidP="007F4EA3">
      <w:pPr>
        <w:tabs>
          <w:tab w:val="left" w:pos="993"/>
        </w:tabs>
        <w:autoSpaceDE/>
        <w:autoSpaceDN/>
        <w:adjustRightInd/>
        <w:spacing w:line="0" w:lineRule="atLeast"/>
        <w:jc w:val="both"/>
        <w:rPr>
          <w:rFonts w:cs="Arial"/>
          <w:bCs/>
        </w:rPr>
      </w:pPr>
    </w:p>
    <w:p w14:paraId="44558EBF" w14:textId="01EB6C5F" w:rsidR="007F4EA3" w:rsidRDefault="007F4EA3" w:rsidP="007F4EA3">
      <w:pPr>
        <w:numPr>
          <w:ilvl w:val="0"/>
          <w:numId w:val="1"/>
        </w:numPr>
        <w:tabs>
          <w:tab w:val="left" w:pos="993"/>
        </w:tabs>
        <w:autoSpaceDE/>
        <w:autoSpaceDN/>
        <w:adjustRightInd/>
        <w:spacing w:line="0" w:lineRule="atLeast"/>
        <w:jc w:val="both"/>
        <w:rPr>
          <w:rFonts w:cs="Arial"/>
          <w:bCs/>
        </w:rPr>
      </w:pPr>
      <w:r>
        <w:rPr>
          <w:rFonts w:cs="Arial"/>
          <w:bCs/>
        </w:rPr>
        <w:t xml:space="preserve">Que con fecha 3 de diciembre de 2015, la Comisión </w:t>
      </w:r>
      <w:r w:rsidR="0024727F">
        <w:rPr>
          <w:rFonts w:cs="Arial"/>
          <w:bCs/>
        </w:rPr>
        <w:t xml:space="preserve">Reguladora de Energía (la Comisión) </w:t>
      </w:r>
      <w:r>
        <w:rPr>
          <w:rFonts w:cs="Arial"/>
          <w:bCs/>
        </w:rPr>
        <w:t xml:space="preserve">otorgó a Pemex Transformación Industrial el permiso de comercialización de hidrocarburos, petrolíferos y petroquímicos H/9857/COM/2015 mediante la resolución RES/833/2015. </w:t>
      </w:r>
    </w:p>
    <w:p w14:paraId="23838DDF" w14:textId="77777777" w:rsidR="007B4396" w:rsidRDefault="007B4396" w:rsidP="007B4396">
      <w:pPr>
        <w:tabs>
          <w:tab w:val="left" w:pos="993"/>
        </w:tabs>
        <w:autoSpaceDE/>
        <w:autoSpaceDN/>
        <w:adjustRightInd/>
        <w:spacing w:line="0" w:lineRule="atLeast"/>
        <w:jc w:val="both"/>
        <w:rPr>
          <w:rFonts w:cs="Arial"/>
          <w:bCs/>
        </w:rPr>
      </w:pPr>
    </w:p>
    <w:p w14:paraId="08E662CE" w14:textId="4C9A0780" w:rsidR="00E028F0" w:rsidRDefault="00E028F0" w:rsidP="00F9793E">
      <w:pPr>
        <w:numPr>
          <w:ilvl w:val="0"/>
          <w:numId w:val="1"/>
        </w:numPr>
        <w:tabs>
          <w:tab w:val="left" w:pos="993"/>
        </w:tabs>
        <w:autoSpaceDE/>
        <w:autoSpaceDN/>
        <w:adjustRightInd/>
        <w:spacing w:line="0" w:lineRule="atLeast"/>
        <w:jc w:val="both"/>
        <w:rPr>
          <w:rFonts w:cs="Arial"/>
          <w:bCs/>
        </w:rPr>
      </w:pPr>
      <w:r w:rsidRPr="00E028F0">
        <w:rPr>
          <w:rFonts w:cs="Arial"/>
          <w:bCs/>
        </w:rPr>
        <w:t xml:space="preserve">Que </w:t>
      </w:r>
      <w:r w:rsidR="002623CD">
        <w:rPr>
          <w:rFonts w:cs="Arial"/>
          <w:bCs/>
        </w:rPr>
        <w:t>el</w:t>
      </w:r>
      <w:r w:rsidRPr="00E028F0">
        <w:rPr>
          <w:rFonts w:cs="Arial"/>
          <w:bCs/>
        </w:rPr>
        <w:t xml:space="preserve"> 12 de enero de 2016, la Comisión publicó en el </w:t>
      </w:r>
      <w:r w:rsidR="007B4396">
        <w:rPr>
          <w:rFonts w:cs="Arial"/>
          <w:bCs/>
        </w:rPr>
        <w:t>D</w:t>
      </w:r>
      <w:r w:rsidRPr="00E028F0">
        <w:rPr>
          <w:rFonts w:cs="Arial"/>
          <w:bCs/>
        </w:rPr>
        <w:t xml:space="preserve">OF la </w:t>
      </w:r>
      <w:r w:rsidR="00D40937">
        <w:rPr>
          <w:rFonts w:cs="Arial"/>
          <w:bCs/>
        </w:rPr>
        <w:t>r</w:t>
      </w:r>
      <w:r w:rsidRPr="00E028F0">
        <w:rPr>
          <w:rFonts w:cs="Arial"/>
          <w:bCs/>
        </w:rPr>
        <w:t>esolución RES/899/201</w:t>
      </w:r>
      <w:r w:rsidR="003E60CA">
        <w:rPr>
          <w:rFonts w:cs="Arial"/>
          <w:bCs/>
        </w:rPr>
        <w:t>5</w:t>
      </w:r>
      <w:r w:rsidRPr="00E028F0">
        <w:rPr>
          <w:rFonts w:cs="Arial"/>
          <w:bCs/>
        </w:rPr>
        <w:t xml:space="preserve">, por la que se </w:t>
      </w:r>
      <w:r w:rsidR="00254BB1">
        <w:rPr>
          <w:rFonts w:cs="Arial"/>
          <w:bCs/>
        </w:rPr>
        <w:t>expidieron</w:t>
      </w:r>
      <w:r w:rsidRPr="00E028F0">
        <w:rPr>
          <w:rFonts w:cs="Arial"/>
          <w:bCs/>
        </w:rPr>
        <w:t xml:space="preserve"> las Disposiciones administrativas de carácter general en materia de acceso abierto y prestación de los servicios de transporte por ducto y almacenamiento de petrolíferos y petroquímicos (DACG).</w:t>
      </w:r>
      <w:bookmarkEnd w:id="0"/>
    </w:p>
    <w:p w14:paraId="0969348F" w14:textId="77777777" w:rsidR="002C3B8C" w:rsidRDefault="002C3B8C" w:rsidP="002C3B8C">
      <w:pPr>
        <w:tabs>
          <w:tab w:val="left" w:pos="993"/>
        </w:tabs>
        <w:autoSpaceDE/>
        <w:autoSpaceDN/>
        <w:adjustRightInd/>
        <w:spacing w:line="0" w:lineRule="atLeast"/>
        <w:jc w:val="both"/>
        <w:rPr>
          <w:rFonts w:cs="Arial"/>
          <w:bCs/>
        </w:rPr>
      </w:pPr>
    </w:p>
    <w:p w14:paraId="2411FC83" w14:textId="2ACCC61A" w:rsidR="002C3B8C" w:rsidRDefault="002C3B8C" w:rsidP="00F9793E">
      <w:pPr>
        <w:numPr>
          <w:ilvl w:val="0"/>
          <w:numId w:val="1"/>
        </w:numPr>
        <w:tabs>
          <w:tab w:val="left" w:pos="993"/>
        </w:tabs>
        <w:autoSpaceDE/>
        <w:autoSpaceDN/>
        <w:adjustRightInd/>
        <w:spacing w:line="0" w:lineRule="atLeast"/>
        <w:jc w:val="both"/>
        <w:rPr>
          <w:rFonts w:cs="Arial"/>
          <w:bCs/>
        </w:rPr>
      </w:pPr>
      <w:r>
        <w:rPr>
          <w:rFonts w:cs="Arial"/>
          <w:bCs/>
        </w:rPr>
        <w:t xml:space="preserve">Que </w:t>
      </w:r>
      <w:r w:rsidR="002623CD">
        <w:rPr>
          <w:rFonts w:cs="Arial"/>
          <w:bCs/>
        </w:rPr>
        <w:t>el</w:t>
      </w:r>
      <w:r>
        <w:rPr>
          <w:rFonts w:cs="Arial"/>
          <w:bCs/>
        </w:rPr>
        <w:t xml:space="preserve"> 30 de marzo de 2016, la Comisión publicó en el DOF la resolución RES/184/2016, por la que se </w:t>
      </w:r>
      <w:r w:rsidR="0024727F">
        <w:rPr>
          <w:rFonts w:cs="Arial"/>
          <w:bCs/>
        </w:rPr>
        <w:t xml:space="preserve">modificó </w:t>
      </w:r>
      <w:r>
        <w:rPr>
          <w:rFonts w:cs="Arial"/>
          <w:bCs/>
        </w:rPr>
        <w:t>la disposición séptima transitoria de las DACG.</w:t>
      </w:r>
    </w:p>
    <w:p w14:paraId="6110E7A8" w14:textId="77777777" w:rsidR="00D40937" w:rsidRDefault="00D40937" w:rsidP="00D40937">
      <w:pPr>
        <w:tabs>
          <w:tab w:val="left" w:pos="993"/>
        </w:tabs>
        <w:autoSpaceDE/>
        <w:autoSpaceDN/>
        <w:adjustRightInd/>
        <w:spacing w:line="0" w:lineRule="atLeast"/>
        <w:jc w:val="both"/>
        <w:rPr>
          <w:rFonts w:cs="Arial"/>
          <w:bCs/>
        </w:rPr>
      </w:pPr>
    </w:p>
    <w:p w14:paraId="60940F77" w14:textId="77777777" w:rsidR="00D40937" w:rsidRDefault="00D40937" w:rsidP="00F9793E">
      <w:pPr>
        <w:numPr>
          <w:ilvl w:val="0"/>
          <w:numId w:val="1"/>
        </w:numPr>
        <w:tabs>
          <w:tab w:val="left" w:pos="993"/>
        </w:tabs>
        <w:autoSpaceDE/>
        <w:autoSpaceDN/>
        <w:adjustRightInd/>
        <w:spacing w:line="0" w:lineRule="atLeast"/>
        <w:jc w:val="both"/>
        <w:rPr>
          <w:rFonts w:cs="Arial"/>
          <w:bCs/>
        </w:rPr>
      </w:pPr>
      <w:r>
        <w:rPr>
          <w:rFonts w:cs="Arial"/>
          <w:bCs/>
        </w:rPr>
        <w:t>Que el 24 de noviembre de 2016</w:t>
      </w:r>
      <w:r w:rsidR="00254BB1">
        <w:rPr>
          <w:rFonts w:cs="Arial"/>
          <w:bCs/>
        </w:rPr>
        <w:t>,</w:t>
      </w:r>
      <w:r>
        <w:rPr>
          <w:rFonts w:cs="Arial"/>
          <w:bCs/>
        </w:rPr>
        <w:t xml:space="preserve"> la Comisión emitió las resoluciones RES/1678/2016 y RES/1679/2016, mediante las cuales fueron aprobadas a Pemex Logística las propuestas de procedimiento de temporada abierta aplicable a los sistemas de almacenamiento y transporte por ducto</w:t>
      </w:r>
      <w:r w:rsidR="00023760">
        <w:rPr>
          <w:rFonts w:cs="Arial"/>
          <w:bCs/>
        </w:rPr>
        <w:t xml:space="preserve"> de </w:t>
      </w:r>
      <w:r w:rsidR="00023760">
        <w:rPr>
          <w:rFonts w:cs="Arial"/>
          <w:bCs/>
        </w:rPr>
        <w:lastRenderedPageBreak/>
        <w:t>petrolíferos</w:t>
      </w:r>
      <w:r>
        <w:rPr>
          <w:rFonts w:cs="Arial"/>
          <w:bCs/>
        </w:rPr>
        <w:t>, respectivamente.</w:t>
      </w:r>
    </w:p>
    <w:p w14:paraId="2B22369A" w14:textId="77777777" w:rsidR="00D40937" w:rsidRDefault="00D40937" w:rsidP="00D40937">
      <w:pPr>
        <w:tabs>
          <w:tab w:val="left" w:pos="993"/>
        </w:tabs>
        <w:autoSpaceDE/>
        <w:autoSpaceDN/>
        <w:adjustRightInd/>
        <w:spacing w:line="0" w:lineRule="atLeast"/>
        <w:jc w:val="both"/>
        <w:rPr>
          <w:rFonts w:cs="Arial"/>
          <w:bCs/>
        </w:rPr>
      </w:pPr>
    </w:p>
    <w:p w14:paraId="5A957AC6" w14:textId="1BC91029" w:rsidR="00D40937" w:rsidRDefault="00D40937" w:rsidP="00F9793E">
      <w:pPr>
        <w:numPr>
          <w:ilvl w:val="0"/>
          <w:numId w:val="1"/>
        </w:numPr>
        <w:tabs>
          <w:tab w:val="left" w:pos="993"/>
        </w:tabs>
        <w:autoSpaceDE/>
        <w:autoSpaceDN/>
        <w:adjustRightInd/>
        <w:spacing w:line="0" w:lineRule="atLeast"/>
        <w:jc w:val="both"/>
        <w:rPr>
          <w:rFonts w:cs="Arial"/>
          <w:bCs/>
        </w:rPr>
      </w:pPr>
      <w:r w:rsidRPr="00BD4DD0">
        <w:rPr>
          <w:rFonts w:cs="Arial"/>
          <w:bCs/>
        </w:rPr>
        <w:t xml:space="preserve">Que </w:t>
      </w:r>
      <w:r w:rsidR="00023760">
        <w:rPr>
          <w:rFonts w:cs="Arial"/>
          <w:bCs/>
        </w:rPr>
        <w:t>el</w:t>
      </w:r>
      <w:r w:rsidRPr="00BD4DD0">
        <w:rPr>
          <w:rFonts w:cs="Arial"/>
          <w:bCs/>
        </w:rPr>
        <w:t xml:space="preserve"> 13 de diciembre de 2016, la Comisión emitió las resoluciones RES/1828/2016 y RES/1829/2016, por las cuales fueron aclarados diversos puntos de las resoluciones </w:t>
      </w:r>
      <w:r w:rsidR="00254BB1">
        <w:rPr>
          <w:rFonts w:cs="Arial"/>
          <w:bCs/>
        </w:rPr>
        <w:t>referidas</w:t>
      </w:r>
      <w:r w:rsidRPr="00BD4DD0">
        <w:rPr>
          <w:rFonts w:cs="Arial"/>
          <w:bCs/>
        </w:rPr>
        <w:t xml:space="preserve"> en el resultando inmediato anterior.</w:t>
      </w:r>
    </w:p>
    <w:p w14:paraId="264DE080" w14:textId="77777777" w:rsidR="0017584A" w:rsidRDefault="0017584A" w:rsidP="0017584A">
      <w:pPr>
        <w:tabs>
          <w:tab w:val="left" w:pos="993"/>
        </w:tabs>
        <w:autoSpaceDE/>
        <w:autoSpaceDN/>
        <w:adjustRightInd/>
        <w:spacing w:line="0" w:lineRule="atLeast"/>
        <w:jc w:val="both"/>
        <w:rPr>
          <w:rFonts w:cs="Arial"/>
          <w:bCs/>
        </w:rPr>
      </w:pPr>
    </w:p>
    <w:p w14:paraId="14AA5409" w14:textId="0B7DB064" w:rsidR="00676AD2" w:rsidRDefault="00676AD2" w:rsidP="00F9793E">
      <w:pPr>
        <w:numPr>
          <w:ilvl w:val="0"/>
          <w:numId w:val="1"/>
        </w:numPr>
        <w:tabs>
          <w:tab w:val="left" w:pos="993"/>
        </w:tabs>
        <w:autoSpaceDE/>
        <w:autoSpaceDN/>
        <w:adjustRightInd/>
        <w:spacing w:line="0" w:lineRule="atLeast"/>
        <w:jc w:val="both"/>
        <w:rPr>
          <w:rFonts w:cs="Arial"/>
          <w:bCs/>
        </w:rPr>
      </w:pPr>
      <w:r>
        <w:rPr>
          <w:rFonts w:cs="Arial"/>
          <w:bCs/>
        </w:rPr>
        <w:t xml:space="preserve">Que el 20 de diciembre de 2016, la Comisión emitió el acuerdo A/061/2016, mediante el cual </w:t>
      </w:r>
      <w:r w:rsidR="003A7BA2">
        <w:rPr>
          <w:rFonts w:cs="Arial"/>
          <w:bCs/>
        </w:rPr>
        <w:t>se realizaron</w:t>
      </w:r>
      <w:r>
        <w:rPr>
          <w:rFonts w:cs="Arial"/>
          <w:bCs/>
        </w:rPr>
        <w:t xml:space="preserve"> precisiones a los modelos de contrato de comercialización y venta de primera mano de gasolinas y diésel de Pemex Transformación Industrial.</w:t>
      </w:r>
    </w:p>
    <w:p w14:paraId="6566A653" w14:textId="77777777" w:rsidR="00254BB1" w:rsidRPr="00BD4DD0" w:rsidRDefault="00254BB1" w:rsidP="00254BB1">
      <w:pPr>
        <w:tabs>
          <w:tab w:val="left" w:pos="993"/>
        </w:tabs>
        <w:autoSpaceDE/>
        <w:autoSpaceDN/>
        <w:adjustRightInd/>
        <w:spacing w:line="0" w:lineRule="atLeast"/>
        <w:jc w:val="both"/>
        <w:rPr>
          <w:rFonts w:cs="Arial"/>
          <w:bCs/>
        </w:rPr>
      </w:pPr>
    </w:p>
    <w:p w14:paraId="2E079BD0" w14:textId="49243C12" w:rsidR="00D40937" w:rsidRDefault="00D40937" w:rsidP="00F9793E">
      <w:pPr>
        <w:numPr>
          <w:ilvl w:val="0"/>
          <w:numId w:val="1"/>
        </w:numPr>
        <w:tabs>
          <w:tab w:val="left" w:pos="993"/>
        </w:tabs>
        <w:autoSpaceDE/>
        <w:autoSpaceDN/>
        <w:adjustRightInd/>
        <w:spacing w:line="0" w:lineRule="atLeast"/>
        <w:jc w:val="both"/>
        <w:rPr>
          <w:rFonts w:cs="Arial"/>
          <w:bCs/>
        </w:rPr>
      </w:pPr>
      <w:r w:rsidRPr="00BD4DD0">
        <w:rPr>
          <w:rFonts w:cs="Arial"/>
          <w:bCs/>
        </w:rPr>
        <w:t>Que el 2 de febrero de 2017</w:t>
      </w:r>
      <w:r w:rsidR="00254BB1">
        <w:rPr>
          <w:rFonts w:cs="Arial"/>
          <w:bCs/>
        </w:rPr>
        <w:t>,</w:t>
      </w:r>
      <w:r w:rsidRPr="00BD4DD0">
        <w:rPr>
          <w:rFonts w:cs="Arial"/>
          <w:bCs/>
        </w:rPr>
        <w:t xml:space="preserve"> la Comisión emitió la resolución RES/114/2017, mediante la cual </w:t>
      </w:r>
      <w:r w:rsidR="003A7BA2">
        <w:rPr>
          <w:rFonts w:cs="Arial"/>
          <w:bCs/>
        </w:rPr>
        <w:t xml:space="preserve">se </w:t>
      </w:r>
      <w:r w:rsidRPr="00BD4DD0">
        <w:rPr>
          <w:rFonts w:cs="Arial"/>
          <w:bCs/>
        </w:rPr>
        <w:t>ajustó el procedimiento de temporada abierta de Pemex Logística aplicable a los sistemas de almacenamiento y transporte por ducto de petrolíferos para la etapa 1.1.</w:t>
      </w:r>
    </w:p>
    <w:p w14:paraId="2F811A20" w14:textId="77777777" w:rsidR="00157C27" w:rsidRDefault="00157C27" w:rsidP="00157C27">
      <w:pPr>
        <w:tabs>
          <w:tab w:val="left" w:pos="993"/>
        </w:tabs>
        <w:autoSpaceDE/>
        <w:autoSpaceDN/>
        <w:adjustRightInd/>
        <w:spacing w:line="0" w:lineRule="atLeast"/>
        <w:jc w:val="both"/>
        <w:rPr>
          <w:rFonts w:cs="Arial"/>
          <w:bCs/>
        </w:rPr>
      </w:pPr>
    </w:p>
    <w:p w14:paraId="0E2167AB" w14:textId="25C7E210" w:rsidR="00157C27" w:rsidRPr="00BD4DD0" w:rsidRDefault="00235112" w:rsidP="00F9793E">
      <w:pPr>
        <w:numPr>
          <w:ilvl w:val="0"/>
          <w:numId w:val="1"/>
        </w:numPr>
        <w:tabs>
          <w:tab w:val="left" w:pos="993"/>
        </w:tabs>
        <w:autoSpaceDE/>
        <w:autoSpaceDN/>
        <w:adjustRightInd/>
        <w:spacing w:line="0" w:lineRule="atLeast"/>
        <w:jc w:val="both"/>
        <w:rPr>
          <w:rFonts w:cs="Arial"/>
          <w:bCs/>
        </w:rPr>
      </w:pPr>
      <w:r>
        <w:rPr>
          <w:rFonts w:cs="Arial"/>
          <w:bCs/>
        </w:rPr>
        <w:t>Que el 12 de abril de 2017, la Comisión emitió la resolución RES/820/2017, mediante la cual aprobó a Pemex Logística el reinicio del proceso de subasta y asignación de capacidad del procedimiento de temporada abierta para la etapa 1.1, aprobó los cargos de servicio de recepción-entrega en la modalidad de reserva contractual para los sistemas de almacenamiento de petrolíferos, así como las tarifas mínimas de capacidad aplicable a los sistemas de almacenamiento y transporte por ducto de petrolíferos para el proceso de subasta para la asignación de capacidad, y emitió una aclaración sobre la tarifa de uso común.</w:t>
      </w:r>
    </w:p>
    <w:p w14:paraId="74F15659" w14:textId="77777777" w:rsidR="00747621" w:rsidRPr="004B06B3" w:rsidRDefault="00747621" w:rsidP="00747621">
      <w:pPr>
        <w:tabs>
          <w:tab w:val="left" w:pos="993"/>
        </w:tabs>
        <w:autoSpaceDE/>
        <w:autoSpaceDN/>
        <w:adjustRightInd/>
        <w:spacing w:line="0" w:lineRule="atLeast"/>
        <w:jc w:val="both"/>
        <w:rPr>
          <w:rFonts w:cs="Arial"/>
          <w:bCs/>
          <w:highlight w:val="yellow"/>
        </w:rPr>
      </w:pPr>
    </w:p>
    <w:p w14:paraId="698A81BA" w14:textId="77777777" w:rsidR="000737EB" w:rsidRPr="00AB0284" w:rsidRDefault="0024430A" w:rsidP="004743E1">
      <w:pPr>
        <w:pStyle w:val="Style1"/>
        <w:widowControl/>
        <w:spacing w:line="0" w:lineRule="atLeast"/>
        <w:mirrorIndents/>
        <w:jc w:val="center"/>
        <w:rPr>
          <w:rFonts w:cs="Arial"/>
          <w:b/>
          <w:spacing w:val="-2"/>
          <w:lang w:val="es-ES_tradnl"/>
        </w:rPr>
      </w:pPr>
      <w:r w:rsidRPr="00AB0284">
        <w:rPr>
          <w:rFonts w:cs="Arial"/>
          <w:b/>
          <w:spacing w:val="-2"/>
          <w:lang w:val="es-ES_tradnl"/>
        </w:rPr>
        <w:t>C O N S I D E R A N D O</w:t>
      </w:r>
    </w:p>
    <w:p w14:paraId="019F9DE8" w14:textId="77777777" w:rsidR="00655FE8" w:rsidRPr="00AB0284" w:rsidRDefault="00655FE8" w:rsidP="004743E1">
      <w:pPr>
        <w:pStyle w:val="Prrafodelista"/>
        <w:autoSpaceDE w:val="0"/>
        <w:autoSpaceDN w:val="0"/>
        <w:adjustRightInd w:val="0"/>
        <w:spacing w:line="0" w:lineRule="atLeast"/>
        <w:ind w:left="0"/>
        <w:jc w:val="both"/>
        <w:rPr>
          <w:rFonts w:ascii="Arial" w:hAnsi="Arial" w:cs="Arial"/>
          <w:i/>
          <w:iCs/>
          <w:spacing w:val="-2"/>
          <w:szCs w:val="24"/>
          <w:lang w:val="es-ES_tradnl" w:eastAsia="es-ES_tradnl"/>
        </w:rPr>
      </w:pPr>
    </w:p>
    <w:p w14:paraId="63797EE2" w14:textId="561BE766" w:rsidR="009B52E2" w:rsidRPr="009B52E2" w:rsidRDefault="00293368" w:rsidP="009B52E2">
      <w:pPr>
        <w:pStyle w:val="Prrafodelista"/>
        <w:widowControl w:val="0"/>
        <w:numPr>
          <w:ilvl w:val="0"/>
          <w:numId w:val="3"/>
        </w:numPr>
        <w:tabs>
          <w:tab w:val="left" w:pos="1134"/>
        </w:tabs>
        <w:ind w:left="0" w:firstLine="0"/>
        <w:jc w:val="both"/>
        <w:rPr>
          <w:rFonts w:ascii="Arial" w:hAnsi="Arial" w:cs="Arial"/>
        </w:rPr>
      </w:pPr>
      <w:r w:rsidRPr="00FE0E01">
        <w:rPr>
          <w:rFonts w:ascii="Arial" w:hAnsi="Arial" w:cs="Arial"/>
          <w:lang w:val="es-ES_tradnl"/>
        </w:rPr>
        <w:t>Que de conformidad con los artículos 41, fracción I de la LORCME, 48, fracción II y 81 de la LH</w:t>
      </w:r>
      <w:r w:rsidR="003A7BA2">
        <w:rPr>
          <w:rFonts w:ascii="Arial" w:hAnsi="Arial" w:cs="Arial"/>
          <w:lang w:val="es-ES_tradnl"/>
        </w:rPr>
        <w:t>,</w:t>
      </w:r>
      <w:r w:rsidRPr="00FE0E01">
        <w:rPr>
          <w:rFonts w:ascii="Arial" w:hAnsi="Arial" w:cs="Arial"/>
          <w:lang w:val="es-ES_tradnl"/>
        </w:rPr>
        <w:t xml:space="preserve"> y 1 y 5 del Reglamento de las actividades a que se refiere el Título Tercero de la Ley de Hidrocarburos (el Reglamento), la Comisión cuenta con la facultad para regular y supervisar</w:t>
      </w:r>
      <w:r w:rsidR="009B52E2">
        <w:rPr>
          <w:rFonts w:ascii="Arial" w:hAnsi="Arial" w:cs="Arial"/>
          <w:lang w:val="es-ES_tradnl"/>
        </w:rPr>
        <w:t xml:space="preserve">, </w:t>
      </w:r>
      <w:r w:rsidR="009B52E2" w:rsidRPr="009B52E2">
        <w:rPr>
          <w:rFonts w:ascii="Arial" w:hAnsi="Arial" w:cs="Arial"/>
          <w:lang w:val="es-ES_tradnl"/>
        </w:rPr>
        <w:t>así como</w:t>
      </w:r>
      <w:r w:rsidR="009B52E2">
        <w:rPr>
          <w:rFonts w:ascii="Arial" w:hAnsi="Arial" w:cs="Arial"/>
          <w:lang w:val="es-ES_tradnl"/>
        </w:rPr>
        <w:t xml:space="preserve"> para</w:t>
      </w:r>
      <w:r w:rsidR="009B52E2" w:rsidRPr="009B52E2">
        <w:rPr>
          <w:rFonts w:ascii="Arial" w:hAnsi="Arial" w:cs="Arial"/>
          <w:lang w:val="es-ES_tradnl"/>
        </w:rPr>
        <w:t xml:space="preserve"> otorgar los permisos para realizar</w:t>
      </w:r>
      <w:r w:rsidR="009B52E2">
        <w:rPr>
          <w:rFonts w:ascii="Arial" w:hAnsi="Arial" w:cs="Arial"/>
          <w:lang w:val="es-ES_tradnl"/>
        </w:rPr>
        <w:t>, entre otras,</w:t>
      </w:r>
      <w:r w:rsidRPr="00FE0E01">
        <w:rPr>
          <w:rFonts w:ascii="Arial" w:hAnsi="Arial" w:cs="Arial"/>
          <w:lang w:val="es-ES_tradnl"/>
        </w:rPr>
        <w:t xml:space="preserve"> las actividades de </w:t>
      </w:r>
      <w:r w:rsidR="00254BB1">
        <w:rPr>
          <w:rFonts w:ascii="Arial" w:hAnsi="Arial" w:cs="Arial"/>
          <w:lang w:val="es-ES_tradnl"/>
        </w:rPr>
        <w:t xml:space="preserve">almacenamiento, </w:t>
      </w:r>
      <w:r w:rsidRPr="00FE0E01">
        <w:rPr>
          <w:rFonts w:ascii="Arial" w:hAnsi="Arial" w:cs="Arial"/>
          <w:lang w:val="es-ES_tradnl"/>
        </w:rPr>
        <w:t>transporte, distribución y comercialización de hidrocarburos, petrolíferos y petroquímicos.</w:t>
      </w:r>
    </w:p>
    <w:p w14:paraId="47058762" w14:textId="77777777" w:rsidR="009B52E2" w:rsidRPr="009B52E2" w:rsidRDefault="009B52E2" w:rsidP="009B52E2">
      <w:pPr>
        <w:pStyle w:val="Prrafodelista"/>
        <w:widowControl w:val="0"/>
        <w:tabs>
          <w:tab w:val="left" w:pos="1134"/>
        </w:tabs>
        <w:ind w:left="0"/>
        <w:jc w:val="both"/>
        <w:rPr>
          <w:rFonts w:ascii="Arial" w:hAnsi="Arial" w:cs="Arial"/>
        </w:rPr>
      </w:pPr>
    </w:p>
    <w:p w14:paraId="3A279364" w14:textId="58FC9D9C" w:rsidR="009B52E2" w:rsidRPr="009B52E2" w:rsidRDefault="009B52E2" w:rsidP="00F9793E">
      <w:pPr>
        <w:pStyle w:val="Prrafodelista"/>
        <w:widowControl w:val="0"/>
        <w:numPr>
          <w:ilvl w:val="0"/>
          <w:numId w:val="3"/>
        </w:numPr>
        <w:tabs>
          <w:tab w:val="left" w:pos="1134"/>
        </w:tabs>
        <w:ind w:left="0" w:firstLine="0"/>
        <w:jc w:val="both"/>
        <w:rPr>
          <w:rStyle w:val="FontStyle12"/>
          <w:b w:val="0"/>
          <w:bCs w:val="0"/>
          <w:sz w:val="24"/>
          <w:szCs w:val="20"/>
        </w:rPr>
      </w:pPr>
      <w:r w:rsidRPr="009B52E2">
        <w:rPr>
          <w:rFonts w:ascii="Arial" w:hAnsi="Arial" w:cs="Arial"/>
        </w:rPr>
        <w:t xml:space="preserve">Que, de acuerdo con el artículo 42 de la LORCME, corresponde a la Comisión </w:t>
      </w:r>
      <w:r>
        <w:rPr>
          <w:rFonts w:ascii="Arial" w:hAnsi="Arial" w:cs="Arial"/>
        </w:rPr>
        <w:t xml:space="preserve">fomentar el desarrollo eficiente de la industria, promover la </w:t>
      </w:r>
      <w:r>
        <w:rPr>
          <w:rFonts w:ascii="Arial" w:hAnsi="Arial" w:cs="Arial"/>
        </w:rPr>
        <w:lastRenderedPageBreak/>
        <w:t>competencia en el sector, pro</w:t>
      </w:r>
      <w:r w:rsidRPr="009B52E2">
        <w:rPr>
          <w:rFonts w:ascii="Arial" w:hAnsi="Arial" w:cs="Arial"/>
        </w:rPr>
        <w:t>teger los intereses de los usuarios, propiciar una adecuada cobertura nacional y atender a la confiabilidad, estabilidad y seguridad en el suministro y la prestación de los servicios</w:t>
      </w:r>
      <w:r>
        <w:rPr>
          <w:rFonts w:ascii="Arial" w:hAnsi="Arial" w:cs="Arial"/>
        </w:rPr>
        <w:t>.</w:t>
      </w:r>
    </w:p>
    <w:p w14:paraId="1B4E4689" w14:textId="77777777" w:rsidR="009B52E2" w:rsidRPr="009B52E2" w:rsidRDefault="009B52E2" w:rsidP="009B52E2">
      <w:pPr>
        <w:pStyle w:val="Prrafodelista"/>
        <w:rPr>
          <w:rStyle w:val="FontStyle12"/>
          <w:b w:val="0"/>
          <w:sz w:val="24"/>
          <w:szCs w:val="24"/>
          <w:lang w:val="es-ES_tradnl" w:eastAsia="es-ES_tradnl"/>
        </w:rPr>
      </w:pPr>
    </w:p>
    <w:p w14:paraId="24F4BC21" w14:textId="69F27200" w:rsidR="0038057F" w:rsidRPr="00070AC6" w:rsidRDefault="0038057F" w:rsidP="00F9793E">
      <w:pPr>
        <w:pStyle w:val="Prrafodelista"/>
        <w:widowControl w:val="0"/>
        <w:numPr>
          <w:ilvl w:val="0"/>
          <w:numId w:val="3"/>
        </w:numPr>
        <w:tabs>
          <w:tab w:val="left" w:pos="1134"/>
        </w:tabs>
        <w:ind w:left="0" w:firstLine="0"/>
        <w:jc w:val="both"/>
        <w:rPr>
          <w:rStyle w:val="FontStyle12"/>
          <w:b w:val="0"/>
          <w:bCs w:val="0"/>
          <w:sz w:val="24"/>
          <w:szCs w:val="20"/>
        </w:rPr>
      </w:pPr>
      <w:r w:rsidRPr="0038057F">
        <w:rPr>
          <w:rStyle w:val="FontStyle12"/>
          <w:b w:val="0"/>
          <w:sz w:val="24"/>
          <w:szCs w:val="24"/>
          <w:lang w:val="es-ES_tradnl" w:eastAsia="es-ES_tradnl"/>
        </w:rPr>
        <w:t>Que</w:t>
      </w:r>
      <w:r w:rsidR="009B52E2">
        <w:rPr>
          <w:rStyle w:val="FontStyle12"/>
          <w:b w:val="0"/>
          <w:sz w:val="24"/>
          <w:szCs w:val="24"/>
          <w:lang w:val="es-ES_tradnl" w:eastAsia="es-ES_tradnl"/>
        </w:rPr>
        <w:t xml:space="preserve">, de conformidad con </w:t>
      </w:r>
      <w:r w:rsidRPr="0038057F">
        <w:rPr>
          <w:rStyle w:val="FontStyle12"/>
          <w:b w:val="0"/>
          <w:sz w:val="24"/>
          <w:szCs w:val="24"/>
          <w:lang w:val="es-ES_tradnl" w:eastAsia="es-ES_tradnl"/>
        </w:rPr>
        <w:t xml:space="preserve">los artículos 22, fracción IV de la LORCME, 131 de la LH y 3 del Reglamento, </w:t>
      </w:r>
      <w:r w:rsidR="009B52E2">
        <w:rPr>
          <w:rStyle w:val="FontStyle12"/>
          <w:b w:val="0"/>
          <w:sz w:val="24"/>
          <w:szCs w:val="24"/>
          <w:lang w:val="es-ES_tradnl" w:eastAsia="es-ES_tradnl"/>
        </w:rPr>
        <w:t xml:space="preserve">es facultad de </w:t>
      </w:r>
      <w:r w:rsidRPr="0038057F">
        <w:rPr>
          <w:rStyle w:val="FontStyle12"/>
          <w:b w:val="0"/>
          <w:sz w:val="24"/>
          <w:szCs w:val="24"/>
          <w:lang w:val="es-ES_tradnl" w:eastAsia="es-ES_tradnl"/>
        </w:rPr>
        <w:t>la Comisión interpreta</w:t>
      </w:r>
      <w:r w:rsidR="009B52E2">
        <w:rPr>
          <w:rStyle w:val="FontStyle12"/>
          <w:b w:val="0"/>
          <w:sz w:val="24"/>
          <w:szCs w:val="24"/>
          <w:lang w:val="es-ES_tradnl" w:eastAsia="es-ES_tradnl"/>
        </w:rPr>
        <w:t>r</w:t>
      </w:r>
      <w:r w:rsidRPr="0038057F">
        <w:rPr>
          <w:rStyle w:val="FontStyle12"/>
          <w:b w:val="0"/>
          <w:sz w:val="24"/>
          <w:szCs w:val="24"/>
          <w:lang w:val="es-ES_tradnl" w:eastAsia="es-ES_tradnl"/>
        </w:rPr>
        <w:t xml:space="preserve"> para efectos administrativos</w:t>
      </w:r>
      <w:r w:rsidR="00B600C1" w:rsidRPr="00B600C1">
        <w:rPr>
          <w:rStyle w:val="FontStyle12"/>
          <w:b w:val="0"/>
          <w:sz w:val="24"/>
          <w:szCs w:val="24"/>
          <w:lang w:val="es-ES_tradnl" w:eastAsia="es-ES_tradnl"/>
        </w:rPr>
        <w:t xml:space="preserve"> </w:t>
      </w:r>
      <w:r w:rsidR="00B600C1">
        <w:rPr>
          <w:rStyle w:val="FontStyle12"/>
          <w:b w:val="0"/>
          <w:sz w:val="24"/>
          <w:szCs w:val="24"/>
          <w:lang w:val="es-ES_tradnl" w:eastAsia="es-ES_tradnl"/>
        </w:rPr>
        <w:t>y en el ámbito de su competencia, la LH</w:t>
      </w:r>
      <w:r w:rsidR="00D10E09">
        <w:rPr>
          <w:rStyle w:val="FontStyle12"/>
          <w:b w:val="0"/>
          <w:sz w:val="24"/>
          <w:szCs w:val="24"/>
          <w:lang w:val="es-ES_tradnl" w:eastAsia="es-ES_tradnl"/>
        </w:rPr>
        <w:t xml:space="preserve"> y</w:t>
      </w:r>
      <w:r w:rsidR="00B600C1">
        <w:rPr>
          <w:rStyle w:val="FontStyle12"/>
          <w:b w:val="0"/>
          <w:sz w:val="24"/>
          <w:szCs w:val="24"/>
          <w:lang w:val="es-ES_tradnl" w:eastAsia="es-ES_tradnl"/>
        </w:rPr>
        <w:t xml:space="preserve"> el Reglamento</w:t>
      </w:r>
      <w:r w:rsidRPr="0038057F">
        <w:rPr>
          <w:rStyle w:val="FontStyle12"/>
          <w:b w:val="0"/>
          <w:sz w:val="24"/>
          <w:szCs w:val="24"/>
          <w:lang w:val="es-ES_tradnl" w:eastAsia="es-ES_tradnl"/>
        </w:rPr>
        <w:t xml:space="preserve">, </w:t>
      </w:r>
      <w:r w:rsidR="00B600C1">
        <w:rPr>
          <w:rStyle w:val="FontStyle12"/>
          <w:b w:val="0"/>
          <w:sz w:val="24"/>
          <w:szCs w:val="24"/>
          <w:lang w:val="es-ES_tradnl" w:eastAsia="es-ES_tradnl"/>
        </w:rPr>
        <w:t xml:space="preserve">así como </w:t>
      </w:r>
      <w:r w:rsidR="009B52E2">
        <w:rPr>
          <w:rStyle w:val="FontStyle12"/>
          <w:b w:val="0"/>
          <w:sz w:val="24"/>
          <w:szCs w:val="24"/>
          <w:lang w:val="es-ES_tradnl" w:eastAsia="es-ES_tradnl"/>
        </w:rPr>
        <w:t>las disposiciones normativas o actos administrativos que emita</w:t>
      </w:r>
      <w:r w:rsidRPr="0038057F">
        <w:rPr>
          <w:rStyle w:val="FontStyle12"/>
          <w:b w:val="0"/>
          <w:sz w:val="24"/>
          <w:szCs w:val="24"/>
          <w:lang w:val="es-ES_tradnl" w:eastAsia="es-ES_tradnl"/>
        </w:rPr>
        <w:t>.</w:t>
      </w:r>
    </w:p>
    <w:p w14:paraId="5BE206F8" w14:textId="77777777" w:rsidR="009B52E2" w:rsidRPr="00070AC6" w:rsidRDefault="009B52E2" w:rsidP="00070AC6">
      <w:pPr>
        <w:pStyle w:val="Prrafodelista"/>
        <w:widowControl w:val="0"/>
        <w:tabs>
          <w:tab w:val="left" w:pos="1134"/>
        </w:tabs>
        <w:ind w:left="0"/>
        <w:jc w:val="both"/>
        <w:rPr>
          <w:rStyle w:val="FontStyle12"/>
          <w:b w:val="0"/>
          <w:bCs w:val="0"/>
          <w:sz w:val="24"/>
          <w:szCs w:val="20"/>
        </w:rPr>
      </w:pPr>
    </w:p>
    <w:p w14:paraId="0CFE5A5A" w14:textId="7488F45B" w:rsidR="00753EA1" w:rsidRPr="00070AC6" w:rsidRDefault="00753EA1" w:rsidP="00753EA1">
      <w:pPr>
        <w:pStyle w:val="Prrafodelista"/>
        <w:widowControl w:val="0"/>
        <w:numPr>
          <w:ilvl w:val="0"/>
          <w:numId w:val="3"/>
        </w:numPr>
        <w:tabs>
          <w:tab w:val="left" w:pos="1134"/>
        </w:tabs>
        <w:ind w:left="0" w:firstLine="0"/>
        <w:jc w:val="both"/>
        <w:rPr>
          <w:rStyle w:val="FontStyle12"/>
          <w:b w:val="0"/>
          <w:bCs w:val="0"/>
          <w:sz w:val="24"/>
          <w:szCs w:val="20"/>
        </w:rPr>
      </w:pPr>
      <w:r>
        <w:rPr>
          <w:rStyle w:val="FontStyle12"/>
          <w:b w:val="0"/>
          <w:bCs w:val="0"/>
          <w:sz w:val="24"/>
          <w:szCs w:val="20"/>
        </w:rPr>
        <w:t>Que el artículo Décimo Tercero Transitorio de la Ley de Hidrocarburos señala que</w:t>
      </w:r>
      <w:r w:rsidR="00FC0A0E">
        <w:rPr>
          <w:rStyle w:val="FontStyle12"/>
          <w:b w:val="0"/>
          <w:bCs w:val="0"/>
          <w:sz w:val="24"/>
          <w:szCs w:val="20"/>
        </w:rPr>
        <w:t xml:space="preserve"> tanto las ventas de primera mano, como</w:t>
      </w:r>
      <w:r>
        <w:rPr>
          <w:rStyle w:val="FontStyle12"/>
          <w:b w:val="0"/>
          <w:bCs w:val="0"/>
          <w:sz w:val="24"/>
          <w:szCs w:val="20"/>
        </w:rPr>
        <w:t xml:space="preserve"> la actividad de comercialización de petrolíferos </w:t>
      </w:r>
      <w:r w:rsidRPr="00527BF7">
        <w:rPr>
          <w:rStyle w:val="FontStyle12"/>
          <w:b w:val="0"/>
          <w:bCs w:val="0"/>
          <w:sz w:val="24"/>
          <w:szCs w:val="20"/>
        </w:rPr>
        <w:t>se sujetará</w:t>
      </w:r>
      <w:r w:rsidR="00FC0A0E">
        <w:rPr>
          <w:rStyle w:val="FontStyle12"/>
          <w:b w:val="0"/>
          <w:bCs w:val="0"/>
          <w:sz w:val="24"/>
          <w:szCs w:val="20"/>
        </w:rPr>
        <w:t>n</w:t>
      </w:r>
      <w:r w:rsidRPr="00527BF7">
        <w:rPr>
          <w:rStyle w:val="FontStyle12"/>
          <w:b w:val="0"/>
          <w:bCs w:val="0"/>
          <w:sz w:val="24"/>
          <w:szCs w:val="20"/>
        </w:rPr>
        <w:t xml:space="preserve"> a regulación asimétrica con objeto de limitar el poder dominante de Petróleos Mexicanos, sus organismos subsidiarios o divisiones, y cualquier otra empresa productiva del Estado, en tanto se logra una mayor participación de agentes económicos que propicien el desarrollo eficiente y competitivo de los mercados</w:t>
      </w:r>
      <w:r>
        <w:rPr>
          <w:rStyle w:val="FontStyle12"/>
          <w:b w:val="0"/>
          <w:bCs w:val="0"/>
          <w:sz w:val="24"/>
          <w:szCs w:val="20"/>
        </w:rPr>
        <w:t>.</w:t>
      </w:r>
    </w:p>
    <w:p w14:paraId="137ADDD8" w14:textId="77777777" w:rsidR="00753EA1" w:rsidRPr="00753EA1" w:rsidRDefault="00753EA1" w:rsidP="00261B3D">
      <w:pPr>
        <w:pStyle w:val="Prrafodelista"/>
        <w:rPr>
          <w:rStyle w:val="FontStyle12"/>
          <w:b w:val="0"/>
          <w:bCs w:val="0"/>
          <w:sz w:val="24"/>
          <w:szCs w:val="20"/>
        </w:rPr>
      </w:pPr>
    </w:p>
    <w:p w14:paraId="66B715F0" w14:textId="51CE8D17" w:rsidR="0094128B" w:rsidRDefault="0094128B" w:rsidP="00F9793E">
      <w:pPr>
        <w:pStyle w:val="Prrafodelista"/>
        <w:widowControl w:val="0"/>
        <w:numPr>
          <w:ilvl w:val="0"/>
          <w:numId w:val="3"/>
        </w:numPr>
        <w:tabs>
          <w:tab w:val="left" w:pos="1276"/>
        </w:tabs>
        <w:ind w:left="0" w:firstLine="0"/>
        <w:jc w:val="both"/>
        <w:rPr>
          <w:rStyle w:val="FontStyle12"/>
          <w:b w:val="0"/>
          <w:bCs w:val="0"/>
          <w:sz w:val="24"/>
          <w:szCs w:val="20"/>
        </w:rPr>
      </w:pPr>
      <w:r>
        <w:rPr>
          <w:rStyle w:val="FontStyle12"/>
          <w:b w:val="0"/>
          <w:bCs w:val="0"/>
          <w:sz w:val="24"/>
          <w:szCs w:val="20"/>
        </w:rPr>
        <w:t xml:space="preserve">Que la resolución RES/899/2015 estableció en su disposición séptima transitoria de las DACG, en su fracción II, inciso a), párrafo </w:t>
      </w:r>
      <w:r w:rsidR="000E0518">
        <w:rPr>
          <w:rStyle w:val="FontStyle12"/>
          <w:b w:val="0"/>
          <w:bCs w:val="0"/>
          <w:sz w:val="24"/>
          <w:szCs w:val="20"/>
        </w:rPr>
        <w:t>tercero, lo siguiente:</w:t>
      </w:r>
    </w:p>
    <w:p w14:paraId="546F3B56" w14:textId="0608A0D4" w:rsidR="000E0518" w:rsidRDefault="000E0518" w:rsidP="000E0518">
      <w:pPr>
        <w:tabs>
          <w:tab w:val="left" w:pos="1276"/>
        </w:tabs>
        <w:jc w:val="both"/>
        <w:rPr>
          <w:rStyle w:val="FontStyle12"/>
          <w:b w:val="0"/>
          <w:bCs w:val="0"/>
          <w:sz w:val="24"/>
          <w:szCs w:val="20"/>
        </w:rPr>
      </w:pPr>
    </w:p>
    <w:p w14:paraId="5AFD4A77" w14:textId="12AD3117" w:rsidR="000E0518" w:rsidRPr="005A33B2" w:rsidRDefault="000E0518" w:rsidP="000E0518">
      <w:pPr>
        <w:tabs>
          <w:tab w:val="left" w:pos="1134"/>
        </w:tabs>
        <w:ind w:left="426" w:right="474"/>
        <w:jc w:val="both"/>
        <w:rPr>
          <w:rFonts w:cs="Arial"/>
          <w:i/>
          <w:szCs w:val="20"/>
          <w:lang w:val="es-MX"/>
        </w:rPr>
      </w:pPr>
      <w:r>
        <w:rPr>
          <w:rFonts w:cs="Arial"/>
          <w:bCs/>
          <w:i/>
          <w:szCs w:val="20"/>
          <w:lang w:val="es-MX"/>
        </w:rPr>
        <w:t>Cuando un tercero distinto a Petróleos Mexicanos adquiera los Petrolíferos objetos de venta de primera mano o adquiera productos importados, la capacidad que requiera dicho tercero para el Transporte o Almacenamiento, deberá ser cedida por Petróleos Mexicanos conforme a la disposición 25 de las presentes DACG. En caso de no llegar a un acuerdo, la parte afectada podrá solicitar la intervención de la Comisión conforme a la disposición 50</w:t>
      </w:r>
      <w:r w:rsidRPr="005A33B2">
        <w:rPr>
          <w:rFonts w:cs="Arial"/>
          <w:bCs/>
          <w:i/>
          <w:szCs w:val="20"/>
          <w:lang w:val="es-MX"/>
        </w:rPr>
        <w:t>.</w:t>
      </w:r>
    </w:p>
    <w:p w14:paraId="544ED123" w14:textId="77777777" w:rsidR="0094128B" w:rsidRPr="0094128B" w:rsidRDefault="0094128B" w:rsidP="0094128B">
      <w:pPr>
        <w:pStyle w:val="Prrafodelista"/>
        <w:widowControl w:val="0"/>
        <w:tabs>
          <w:tab w:val="left" w:pos="1276"/>
        </w:tabs>
        <w:ind w:left="0"/>
        <w:jc w:val="both"/>
        <w:rPr>
          <w:rStyle w:val="FontStyle12"/>
          <w:b w:val="0"/>
          <w:bCs w:val="0"/>
          <w:sz w:val="24"/>
          <w:szCs w:val="20"/>
        </w:rPr>
      </w:pPr>
    </w:p>
    <w:p w14:paraId="09322ECA" w14:textId="29BD857F" w:rsidR="00070AC6" w:rsidRPr="006328DD" w:rsidRDefault="00070AC6" w:rsidP="00F9793E">
      <w:pPr>
        <w:pStyle w:val="Prrafodelista"/>
        <w:widowControl w:val="0"/>
        <w:numPr>
          <w:ilvl w:val="0"/>
          <w:numId w:val="3"/>
        </w:numPr>
        <w:tabs>
          <w:tab w:val="left" w:pos="1276"/>
        </w:tabs>
        <w:ind w:left="0" w:firstLine="0"/>
        <w:jc w:val="both"/>
        <w:rPr>
          <w:rStyle w:val="FontStyle12"/>
          <w:b w:val="0"/>
          <w:bCs w:val="0"/>
          <w:sz w:val="24"/>
          <w:szCs w:val="20"/>
        </w:rPr>
      </w:pPr>
      <w:r>
        <w:rPr>
          <w:rStyle w:val="FontStyle12"/>
          <w:b w:val="0"/>
          <w:sz w:val="24"/>
          <w:szCs w:val="24"/>
          <w:lang w:val="es-ES_tradnl" w:eastAsia="es-ES_tradnl"/>
        </w:rPr>
        <w:t>Que</w:t>
      </w:r>
      <w:r w:rsidR="00A75CC5">
        <w:rPr>
          <w:rStyle w:val="FontStyle12"/>
          <w:b w:val="0"/>
          <w:sz w:val="24"/>
          <w:szCs w:val="24"/>
          <w:lang w:val="es-ES_tradnl" w:eastAsia="es-ES_tradnl"/>
        </w:rPr>
        <w:t>, la resolución RES/184/2016</w:t>
      </w:r>
      <w:r w:rsidR="00052C5E">
        <w:rPr>
          <w:rStyle w:val="FontStyle12"/>
          <w:b w:val="0"/>
          <w:sz w:val="24"/>
          <w:szCs w:val="24"/>
          <w:lang w:val="es-ES_tradnl" w:eastAsia="es-ES_tradnl"/>
        </w:rPr>
        <w:t xml:space="preserve"> modificó </w:t>
      </w:r>
      <w:r>
        <w:rPr>
          <w:rStyle w:val="FontStyle12"/>
          <w:b w:val="0"/>
          <w:sz w:val="24"/>
          <w:szCs w:val="24"/>
          <w:lang w:val="es-ES_tradnl" w:eastAsia="es-ES_tradnl"/>
        </w:rPr>
        <w:t>la disposición séptima transitoria de las DACG</w:t>
      </w:r>
      <w:r w:rsidR="00052C5E">
        <w:rPr>
          <w:rStyle w:val="FontStyle12"/>
          <w:b w:val="0"/>
          <w:sz w:val="24"/>
          <w:szCs w:val="24"/>
          <w:lang w:val="es-ES_tradnl" w:eastAsia="es-ES_tradnl"/>
        </w:rPr>
        <w:t>, y dispuso en su fracción II, inciso a), párrafo cuarto,</w:t>
      </w:r>
      <w:r>
        <w:rPr>
          <w:rStyle w:val="FontStyle12"/>
          <w:b w:val="0"/>
          <w:sz w:val="24"/>
          <w:szCs w:val="24"/>
          <w:lang w:val="es-ES_tradnl" w:eastAsia="es-ES_tradnl"/>
        </w:rPr>
        <w:t xml:space="preserve"> lo siguiente:</w:t>
      </w:r>
    </w:p>
    <w:p w14:paraId="6539B4ED" w14:textId="77777777" w:rsidR="006328DD" w:rsidRDefault="006328DD" w:rsidP="006328DD">
      <w:pPr>
        <w:tabs>
          <w:tab w:val="left" w:pos="1134"/>
        </w:tabs>
        <w:jc w:val="both"/>
        <w:rPr>
          <w:rStyle w:val="FontStyle12"/>
          <w:b w:val="0"/>
          <w:bCs w:val="0"/>
          <w:sz w:val="24"/>
          <w:szCs w:val="20"/>
        </w:rPr>
      </w:pPr>
    </w:p>
    <w:p w14:paraId="71DED51E" w14:textId="77777777" w:rsidR="006328DD" w:rsidRPr="005A33B2" w:rsidRDefault="006328DD" w:rsidP="006328DD">
      <w:pPr>
        <w:tabs>
          <w:tab w:val="left" w:pos="1134"/>
        </w:tabs>
        <w:ind w:left="426" w:right="474"/>
        <w:jc w:val="both"/>
        <w:rPr>
          <w:rFonts w:cs="Arial"/>
          <w:i/>
          <w:szCs w:val="20"/>
          <w:lang w:val="es-MX"/>
        </w:rPr>
      </w:pPr>
      <w:r w:rsidRPr="005A33B2">
        <w:rPr>
          <w:rFonts w:cs="Arial"/>
          <w:bCs/>
          <w:i/>
          <w:szCs w:val="20"/>
          <w:lang w:val="es-MX"/>
        </w:rPr>
        <w:t>Petróleos Mexicanos, en su calidad de comercializador, podrá reservar la capacidad que le sea asignada como resultado de las Temporadas Abiertas. No obstante, </w:t>
      </w:r>
      <w:r w:rsidRPr="005A33B2">
        <w:rPr>
          <w:rFonts w:cs="Arial"/>
          <w:i/>
          <w:szCs w:val="20"/>
          <w:lang w:val="es-MX"/>
        </w:rPr>
        <w:t>cuando un tercero distinto </w:t>
      </w:r>
      <w:r w:rsidRPr="005A33B2">
        <w:rPr>
          <w:rFonts w:cs="Arial"/>
          <w:bCs/>
          <w:i/>
          <w:szCs w:val="20"/>
          <w:lang w:val="es-MX"/>
        </w:rPr>
        <w:t>al propio</w:t>
      </w:r>
      <w:r w:rsidRPr="005A33B2">
        <w:rPr>
          <w:rFonts w:cs="Arial"/>
          <w:i/>
          <w:szCs w:val="20"/>
          <w:lang w:val="es-MX"/>
        </w:rPr>
        <w:t> Petróleos Mexicanos </w:t>
      </w:r>
      <w:r w:rsidRPr="005A33B2">
        <w:rPr>
          <w:rFonts w:cs="Arial"/>
          <w:bCs/>
          <w:i/>
          <w:szCs w:val="20"/>
          <w:lang w:val="es-MX"/>
        </w:rPr>
        <w:t xml:space="preserve">requiera capacidad para transportar o </w:t>
      </w:r>
      <w:r w:rsidRPr="005A33B2">
        <w:rPr>
          <w:rFonts w:cs="Arial"/>
          <w:bCs/>
          <w:i/>
          <w:szCs w:val="20"/>
          <w:lang w:val="es-MX"/>
        </w:rPr>
        <w:lastRenderedPageBreak/>
        <w:t xml:space="preserve">almacenar gasolinas o diésel </w:t>
      </w:r>
      <w:r w:rsidRPr="005A33B2">
        <w:rPr>
          <w:rFonts w:cs="Arial"/>
          <w:i/>
          <w:szCs w:val="20"/>
          <w:lang w:val="es-MX"/>
        </w:rPr>
        <w:t>objeto de venta de primera mano </w:t>
      </w:r>
      <w:r w:rsidRPr="005A33B2">
        <w:rPr>
          <w:rFonts w:cs="Arial"/>
          <w:bCs/>
          <w:i/>
          <w:szCs w:val="20"/>
          <w:lang w:val="es-MX"/>
        </w:rPr>
        <w:t>adquiridos en Refinería u otro punto de origen de producción nacional,</w:t>
      </w:r>
      <w:r w:rsidRPr="005A33B2">
        <w:rPr>
          <w:rFonts w:cs="Arial"/>
          <w:i/>
          <w:szCs w:val="20"/>
          <w:lang w:val="es-MX"/>
        </w:rPr>
        <w:t> la capacidad que requiera dicho tercero deberá ser cedida por Petróleos Mexicanos</w:t>
      </w:r>
      <w:r w:rsidRPr="005A33B2">
        <w:rPr>
          <w:rFonts w:cs="Arial"/>
          <w:bCs/>
          <w:i/>
          <w:szCs w:val="20"/>
          <w:lang w:val="es-MX"/>
        </w:rPr>
        <w:t>, en su caso,</w:t>
      </w:r>
      <w:r w:rsidRPr="005A33B2">
        <w:rPr>
          <w:rFonts w:cs="Arial"/>
          <w:i/>
          <w:szCs w:val="20"/>
          <w:lang w:val="es-MX"/>
        </w:rPr>
        <w:t> conforme a la disposición 25 de las presentes DACG. En caso de no llegar a un acuerdo, la parte afectada podrá solicitar la intervención de la Comisión conforme a la disposición 50 </w:t>
      </w:r>
      <w:r w:rsidRPr="005A33B2">
        <w:rPr>
          <w:rFonts w:cs="Arial"/>
          <w:bCs/>
          <w:i/>
          <w:szCs w:val="20"/>
          <w:lang w:val="es-MX"/>
        </w:rPr>
        <w:t>de las DACG.</w:t>
      </w:r>
    </w:p>
    <w:p w14:paraId="0CA2C4C1" w14:textId="77777777" w:rsidR="00070AC6" w:rsidRPr="00070AC6" w:rsidRDefault="00070AC6" w:rsidP="00070AC6">
      <w:pPr>
        <w:rPr>
          <w:rFonts w:cs="Arial"/>
          <w:highlight w:val="yellow"/>
          <w:lang w:val="es-ES_tradnl"/>
        </w:rPr>
      </w:pPr>
    </w:p>
    <w:p w14:paraId="5B62E678" w14:textId="4794C1D5" w:rsidR="00DD7760" w:rsidRPr="005A2539" w:rsidRDefault="00A26E2D" w:rsidP="00F9793E">
      <w:pPr>
        <w:pStyle w:val="Prrafodelista"/>
        <w:widowControl w:val="0"/>
        <w:numPr>
          <w:ilvl w:val="0"/>
          <w:numId w:val="3"/>
        </w:numPr>
        <w:tabs>
          <w:tab w:val="left" w:pos="1134"/>
        </w:tabs>
        <w:ind w:left="0" w:firstLine="0"/>
        <w:jc w:val="both"/>
        <w:rPr>
          <w:rFonts w:ascii="Arial" w:hAnsi="Arial" w:cs="Arial"/>
        </w:rPr>
      </w:pPr>
      <w:r w:rsidRPr="00D746B6">
        <w:rPr>
          <w:rFonts w:ascii="Arial" w:hAnsi="Arial" w:cs="Arial"/>
          <w:szCs w:val="24"/>
        </w:rPr>
        <w:t>Que</w:t>
      </w:r>
      <w:r w:rsidR="00D4688C">
        <w:rPr>
          <w:rFonts w:ascii="Arial" w:hAnsi="Arial" w:cs="Arial"/>
          <w:szCs w:val="24"/>
        </w:rPr>
        <w:t xml:space="preserve">, a fin de </w:t>
      </w:r>
      <w:r w:rsidR="00D4688C" w:rsidRPr="00D4688C">
        <w:rPr>
          <w:rFonts w:ascii="Arial" w:hAnsi="Arial" w:cs="Arial"/>
          <w:szCs w:val="24"/>
        </w:rPr>
        <w:t xml:space="preserve">permitir la participación de un mayor número de agentes económicos en el suministro </w:t>
      </w:r>
      <w:r w:rsidR="00052C5E">
        <w:rPr>
          <w:rFonts w:ascii="Arial" w:hAnsi="Arial" w:cs="Arial"/>
          <w:szCs w:val="24"/>
        </w:rPr>
        <w:t>de gasolinas y diésel</w:t>
      </w:r>
      <w:r w:rsidR="00D4688C">
        <w:rPr>
          <w:rFonts w:ascii="Arial" w:hAnsi="Arial" w:cs="Arial"/>
          <w:szCs w:val="24"/>
        </w:rPr>
        <w:t>,</w:t>
      </w:r>
      <w:r w:rsidRPr="00D746B6">
        <w:rPr>
          <w:rFonts w:ascii="Arial" w:hAnsi="Arial" w:cs="Arial"/>
          <w:szCs w:val="24"/>
        </w:rPr>
        <w:t xml:space="preserve"> </w:t>
      </w:r>
      <w:r w:rsidR="00052C5E">
        <w:rPr>
          <w:rFonts w:ascii="Arial" w:hAnsi="Arial" w:cs="Arial"/>
          <w:szCs w:val="24"/>
        </w:rPr>
        <w:t xml:space="preserve">la Comisión estableció en </w:t>
      </w:r>
      <w:r w:rsidR="004E726B" w:rsidRPr="00D746B6">
        <w:rPr>
          <w:rFonts w:ascii="Arial" w:hAnsi="Arial" w:cs="Arial"/>
          <w:szCs w:val="24"/>
        </w:rPr>
        <w:t>los considerandos decimocuarto de las resoluciones RES/1678/2016 y RES/1679/2016</w:t>
      </w:r>
      <w:r w:rsidR="00052C5E">
        <w:rPr>
          <w:rFonts w:ascii="Arial" w:hAnsi="Arial" w:cs="Arial"/>
          <w:szCs w:val="24"/>
        </w:rPr>
        <w:t>, lo siguiente</w:t>
      </w:r>
      <w:r w:rsidR="00D746B6" w:rsidRPr="00D746B6">
        <w:rPr>
          <w:rFonts w:ascii="Arial" w:hAnsi="Arial" w:cs="Arial"/>
          <w:szCs w:val="24"/>
        </w:rPr>
        <w:t>:</w:t>
      </w:r>
    </w:p>
    <w:p w14:paraId="7C3078EF" w14:textId="77777777" w:rsidR="005A2539" w:rsidRPr="00D746B6" w:rsidRDefault="005A2539" w:rsidP="005A2539">
      <w:pPr>
        <w:pStyle w:val="Prrafodelista"/>
        <w:widowControl w:val="0"/>
        <w:tabs>
          <w:tab w:val="left" w:pos="1134"/>
        </w:tabs>
        <w:ind w:left="0"/>
        <w:jc w:val="both"/>
        <w:rPr>
          <w:rFonts w:ascii="Arial" w:hAnsi="Arial" w:cs="Arial"/>
        </w:rPr>
      </w:pPr>
    </w:p>
    <w:p w14:paraId="6A9C65E1" w14:textId="77777777" w:rsidR="00D746B6" w:rsidRPr="005A33B2" w:rsidRDefault="00D746B6" w:rsidP="00D746B6">
      <w:pPr>
        <w:tabs>
          <w:tab w:val="left" w:pos="1134"/>
        </w:tabs>
        <w:ind w:left="567" w:right="474"/>
        <w:jc w:val="both"/>
        <w:rPr>
          <w:rFonts w:cs="Arial"/>
          <w:i/>
          <w:highlight w:val="yellow"/>
        </w:rPr>
      </w:pPr>
      <w:r w:rsidRPr="005A33B2">
        <w:rPr>
          <w:i/>
        </w:rPr>
        <w:t>Que, la capacidad que resulte asignada hasta por la totalidad de la infraestructura a Pemex Transformación Industrial, de conformidad con el Anexo 1, y en congruencia con lo señalado en el Considerando Séptimo anterior, deberá ser cedida cuando un tercero distinto al propio Petróleos Mexicanos requiera dicha capacidad para abastecer a las estaciones de servicio que hubieran estado siendo suministradas por Pemex Transformación Industrial, y que demuestren con contratos de compra venta de combustible, la nueva relación comercial con el comercializador y respetando la misma tarifa de reserva de capacidad contratada.</w:t>
      </w:r>
    </w:p>
    <w:p w14:paraId="0CFD48BA" w14:textId="77777777" w:rsidR="004E726B" w:rsidRDefault="004E726B" w:rsidP="004E726B">
      <w:pPr>
        <w:pStyle w:val="Prrafodelista"/>
        <w:widowControl w:val="0"/>
        <w:tabs>
          <w:tab w:val="left" w:pos="1134"/>
        </w:tabs>
        <w:ind w:left="0"/>
        <w:jc w:val="both"/>
        <w:rPr>
          <w:rFonts w:ascii="Arial" w:hAnsi="Arial" w:cs="Arial"/>
          <w:szCs w:val="24"/>
          <w:highlight w:val="yellow"/>
        </w:rPr>
      </w:pPr>
    </w:p>
    <w:p w14:paraId="6BDBAED5" w14:textId="790E8B8D" w:rsidR="00813893" w:rsidRDefault="00C52854" w:rsidP="00ED6EC2">
      <w:pPr>
        <w:pStyle w:val="Prrafodelista"/>
        <w:widowControl w:val="0"/>
        <w:numPr>
          <w:ilvl w:val="0"/>
          <w:numId w:val="3"/>
        </w:numPr>
        <w:tabs>
          <w:tab w:val="left" w:pos="1134"/>
        </w:tabs>
        <w:ind w:left="0" w:firstLine="0"/>
        <w:jc w:val="both"/>
        <w:rPr>
          <w:rFonts w:ascii="Arial" w:hAnsi="Arial" w:cs="Arial"/>
          <w:szCs w:val="24"/>
        </w:rPr>
      </w:pPr>
      <w:r>
        <w:rPr>
          <w:rFonts w:ascii="Arial" w:hAnsi="Arial" w:cs="Arial"/>
          <w:szCs w:val="24"/>
        </w:rPr>
        <w:t>Que</w:t>
      </w:r>
      <w:r w:rsidR="00F90315">
        <w:rPr>
          <w:rFonts w:ascii="Arial" w:hAnsi="Arial" w:cs="Arial"/>
          <w:szCs w:val="24"/>
        </w:rPr>
        <w:t>,</w:t>
      </w:r>
      <w:r>
        <w:rPr>
          <w:rFonts w:ascii="Arial" w:hAnsi="Arial" w:cs="Arial"/>
          <w:szCs w:val="24"/>
        </w:rPr>
        <w:t xml:space="preserve"> </w:t>
      </w:r>
      <w:r w:rsidR="00052C5E">
        <w:rPr>
          <w:rFonts w:ascii="Arial" w:hAnsi="Arial" w:cs="Arial"/>
          <w:szCs w:val="24"/>
        </w:rPr>
        <w:t xml:space="preserve">en materia de precios de venta de primera mano de gasolinas y diésel, </w:t>
      </w:r>
      <w:r w:rsidR="00813893">
        <w:rPr>
          <w:rFonts w:ascii="Arial" w:hAnsi="Arial" w:cs="Arial"/>
          <w:szCs w:val="24"/>
        </w:rPr>
        <w:t xml:space="preserve">en </w:t>
      </w:r>
      <w:r>
        <w:rPr>
          <w:rFonts w:ascii="Arial" w:hAnsi="Arial" w:cs="Arial"/>
          <w:szCs w:val="24"/>
        </w:rPr>
        <w:t xml:space="preserve">el </w:t>
      </w:r>
      <w:r w:rsidR="0073774C">
        <w:rPr>
          <w:rFonts w:ascii="Arial" w:hAnsi="Arial" w:cs="Arial"/>
          <w:szCs w:val="24"/>
        </w:rPr>
        <w:t xml:space="preserve">inciso b) del punto de </w:t>
      </w:r>
      <w:r>
        <w:rPr>
          <w:rFonts w:ascii="Arial" w:hAnsi="Arial" w:cs="Arial"/>
          <w:szCs w:val="24"/>
        </w:rPr>
        <w:t>acuerdo primero del Acuerdo A/061/2016</w:t>
      </w:r>
      <w:r w:rsidR="00813893">
        <w:rPr>
          <w:rFonts w:ascii="Arial" w:hAnsi="Arial" w:cs="Arial"/>
          <w:szCs w:val="24"/>
        </w:rPr>
        <w:t>, la Comisión</w:t>
      </w:r>
      <w:r w:rsidR="0073774C">
        <w:rPr>
          <w:rFonts w:ascii="Arial" w:hAnsi="Arial" w:cs="Arial"/>
          <w:szCs w:val="24"/>
        </w:rPr>
        <w:t xml:space="preserve"> precis</w:t>
      </w:r>
      <w:r w:rsidR="00813893">
        <w:rPr>
          <w:rFonts w:ascii="Arial" w:hAnsi="Arial" w:cs="Arial"/>
          <w:szCs w:val="24"/>
        </w:rPr>
        <w:t>ó</w:t>
      </w:r>
      <w:r w:rsidR="0073774C">
        <w:rPr>
          <w:rFonts w:ascii="Arial" w:hAnsi="Arial" w:cs="Arial"/>
          <w:szCs w:val="24"/>
        </w:rPr>
        <w:t xml:space="preserve"> que</w:t>
      </w:r>
      <w:r w:rsidR="00052C5E">
        <w:rPr>
          <w:rFonts w:ascii="Arial" w:hAnsi="Arial" w:cs="Arial"/>
          <w:szCs w:val="24"/>
        </w:rPr>
        <w:t>:</w:t>
      </w:r>
      <w:r w:rsidR="0073774C">
        <w:rPr>
          <w:rFonts w:ascii="Arial" w:hAnsi="Arial" w:cs="Arial"/>
          <w:szCs w:val="24"/>
        </w:rPr>
        <w:t xml:space="preserve"> </w:t>
      </w:r>
    </w:p>
    <w:p w14:paraId="65CF021C" w14:textId="77777777" w:rsidR="00813893" w:rsidRDefault="00813893" w:rsidP="00F61076">
      <w:pPr>
        <w:pStyle w:val="Prrafodelista"/>
        <w:widowControl w:val="0"/>
        <w:tabs>
          <w:tab w:val="left" w:pos="1134"/>
        </w:tabs>
        <w:ind w:left="0"/>
        <w:jc w:val="both"/>
        <w:rPr>
          <w:rFonts w:ascii="Arial" w:hAnsi="Arial" w:cs="Arial"/>
          <w:szCs w:val="24"/>
        </w:rPr>
      </w:pPr>
    </w:p>
    <w:p w14:paraId="5190D931" w14:textId="030584F0" w:rsidR="00C52854" w:rsidRPr="00F61076" w:rsidRDefault="00813893" w:rsidP="00F61076">
      <w:pPr>
        <w:pStyle w:val="Prrafodelista"/>
        <w:widowControl w:val="0"/>
        <w:tabs>
          <w:tab w:val="left" w:pos="1134"/>
        </w:tabs>
        <w:ind w:left="567" w:right="474"/>
        <w:jc w:val="both"/>
        <w:rPr>
          <w:rFonts w:ascii="Arial" w:hAnsi="Arial" w:cs="Arial"/>
          <w:i/>
          <w:szCs w:val="24"/>
        </w:rPr>
      </w:pPr>
      <w:r>
        <w:rPr>
          <w:rFonts w:ascii="Arial" w:hAnsi="Arial" w:cs="Arial"/>
          <w:i/>
          <w:szCs w:val="24"/>
        </w:rPr>
        <w:t>E</w:t>
      </w:r>
      <w:r w:rsidR="0073774C" w:rsidRPr="00F61076">
        <w:rPr>
          <w:rFonts w:ascii="Arial" w:hAnsi="Arial" w:cs="Arial"/>
          <w:i/>
          <w:szCs w:val="24"/>
        </w:rPr>
        <w:t xml:space="preserve">n las regiones del país donde, de conformidad con los acuerdos o el cronograma de flexibilización que expida la Comisión, los precios al público se determinen bajo condiciones de mercado, y el procedimiento de Temporada Abierta de la infraestructura de transporte y almacenamiento de Pemex Logística comprendida en la región haya tenido como resultado la contratación de capacidad de transporte y almacenamiento por parte de algún particular, el precio de venta de primera mano se determinará también libremente, con objeto de brindar a Pemex Transformación Industrial la flexibilidad necesaria para adaptarse a la evolución de las condiciones de mercado en un entorno </w:t>
      </w:r>
      <w:r w:rsidR="0073774C" w:rsidRPr="00F61076">
        <w:rPr>
          <w:rFonts w:ascii="Arial" w:hAnsi="Arial" w:cs="Arial"/>
          <w:i/>
          <w:szCs w:val="24"/>
        </w:rPr>
        <w:lastRenderedPageBreak/>
        <w:t>de libre fijación de los precios.</w:t>
      </w:r>
    </w:p>
    <w:p w14:paraId="3CE911A8" w14:textId="77777777" w:rsidR="00A54AC1" w:rsidRDefault="00A54AC1" w:rsidP="00A54AC1">
      <w:pPr>
        <w:pStyle w:val="Prrafodelista"/>
        <w:widowControl w:val="0"/>
        <w:tabs>
          <w:tab w:val="left" w:pos="1134"/>
        </w:tabs>
        <w:ind w:left="0"/>
        <w:jc w:val="both"/>
        <w:rPr>
          <w:rFonts w:ascii="Arial" w:hAnsi="Arial" w:cs="Arial"/>
          <w:szCs w:val="24"/>
        </w:rPr>
      </w:pPr>
    </w:p>
    <w:p w14:paraId="5457203D" w14:textId="550680DB" w:rsidR="0073774C" w:rsidRDefault="00A54AC1" w:rsidP="00ED6EC2">
      <w:pPr>
        <w:pStyle w:val="Prrafodelista"/>
        <w:widowControl w:val="0"/>
        <w:numPr>
          <w:ilvl w:val="0"/>
          <w:numId w:val="3"/>
        </w:numPr>
        <w:tabs>
          <w:tab w:val="left" w:pos="1134"/>
        </w:tabs>
        <w:ind w:left="0" w:firstLine="0"/>
        <w:jc w:val="both"/>
        <w:rPr>
          <w:rFonts w:ascii="Arial" w:hAnsi="Arial" w:cs="Arial"/>
          <w:szCs w:val="24"/>
        </w:rPr>
      </w:pPr>
      <w:r>
        <w:rPr>
          <w:rFonts w:ascii="Arial" w:hAnsi="Arial" w:cs="Arial"/>
          <w:szCs w:val="24"/>
        </w:rPr>
        <w:t>Que</w:t>
      </w:r>
      <w:r w:rsidR="00FC1FBD">
        <w:rPr>
          <w:rFonts w:ascii="Arial" w:hAnsi="Arial" w:cs="Arial"/>
          <w:szCs w:val="24"/>
        </w:rPr>
        <w:t>,</w:t>
      </w:r>
      <w:r>
        <w:rPr>
          <w:rFonts w:ascii="Arial" w:hAnsi="Arial" w:cs="Arial"/>
          <w:szCs w:val="24"/>
        </w:rPr>
        <w:t xml:space="preserve"> </w:t>
      </w:r>
      <w:r w:rsidR="00813893">
        <w:rPr>
          <w:rFonts w:ascii="Arial" w:hAnsi="Arial" w:cs="Arial"/>
          <w:szCs w:val="24"/>
        </w:rPr>
        <w:t xml:space="preserve">en relación con lo anterior, en </w:t>
      </w:r>
      <w:r>
        <w:rPr>
          <w:rFonts w:ascii="Arial" w:hAnsi="Arial" w:cs="Arial"/>
          <w:szCs w:val="24"/>
        </w:rPr>
        <w:t xml:space="preserve">el considerando decimocuarto de la resolución RES/114/2017 </w:t>
      </w:r>
      <w:r w:rsidR="00813893">
        <w:rPr>
          <w:rFonts w:ascii="Arial" w:hAnsi="Arial" w:cs="Arial"/>
          <w:szCs w:val="24"/>
        </w:rPr>
        <w:t>se dispuso</w:t>
      </w:r>
      <w:r>
        <w:rPr>
          <w:rFonts w:ascii="Arial" w:hAnsi="Arial" w:cs="Arial"/>
          <w:szCs w:val="24"/>
        </w:rPr>
        <w:t xml:space="preserve"> que</w:t>
      </w:r>
      <w:r w:rsidR="00813893">
        <w:rPr>
          <w:rFonts w:ascii="Arial" w:hAnsi="Arial" w:cs="Arial"/>
          <w:szCs w:val="24"/>
        </w:rPr>
        <w:t>,</w:t>
      </w:r>
      <w:r>
        <w:rPr>
          <w:rFonts w:ascii="Arial" w:hAnsi="Arial" w:cs="Arial"/>
          <w:szCs w:val="24"/>
        </w:rPr>
        <w:t xml:space="preserve"> para efectos de cumplir las condiciones que establece el décimo tercero transitorio de la LH y estar en posibilidad de liberar la regulación asimétrica impuesta a Petróleos Mexicanos, el inciso b) del </w:t>
      </w:r>
      <w:r w:rsidR="00813893">
        <w:rPr>
          <w:rFonts w:ascii="Arial" w:hAnsi="Arial" w:cs="Arial"/>
          <w:szCs w:val="24"/>
        </w:rPr>
        <w:t xml:space="preserve">punto de acuerdo primero </w:t>
      </w:r>
      <w:r>
        <w:rPr>
          <w:rFonts w:ascii="Arial" w:hAnsi="Arial" w:cs="Arial"/>
          <w:szCs w:val="24"/>
        </w:rPr>
        <w:t xml:space="preserve">del </w:t>
      </w:r>
      <w:r w:rsidR="00813893">
        <w:rPr>
          <w:rFonts w:ascii="Arial" w:hAnsi="Arial" w:cs="Arial"/>
          <w:szCs w:val="24"/>
        </w:rPr>
        <w:t xml:space="preserve">acuerdo </w:t>
      </w:r>
      <w:r>
        <w:rPr>
          <w:rFonts w:ascii="Arial" w:hAnsi="Arial" w:cs="Arial"/>
          <w:szCs w:val="24"/>
        </w:rPr>
        <w:t>A/061/2016 antes referido, deberá aplicarse considerando una asignación de al menos el 90% de la capacidad disponible objeto del procedimiento de temporada abierta, a fin de que con ello, se cubra un porcentaje de al menos 30% del volumen comercializado en promedio en la zona de la etapa 1.1</w:t>
      </w:r>
      <w:r w:rsidR="00813893">
        <w:rPr>
          <w:rFonts w:ascii="Arial" w:hAnsi="Arial" w:cs="Arial"/>
          <w:szCs w:val="24"/>
        </w:rPr>
        <w:t>,</w:t>
      </w:r>
      <w:r>
        <w:rPr>
          <w:rFonts w:ascii="Arial" w:hAnsi="Arial" w:cs="Arial"/>
          <w:szCs w:val="24"/>
        </w:rPr>
        <w:t xml:space="preserve"> por lo que la Comisión revisará los resultados de la temporada abierta para determinar la liberación del precio de venta de primera mano a partir del 15 de abril de 2017.</w:t>
      </w:r>
    </w:p>
    <w:p w14:paraId="2D7CA592" w14:textId="77777777" w:rsidR="00C52854" w:rsidRDefault="00C52854" w:rsidP="00C52854">
      <w:pPr>
        <w:pStyle w:val="Prrafodelista"/>
        <w:widowControl w:val="0"/>
        <w:tabs>
          <w:tab w:val="left" w:pos="1134"/>
        </w:tabs>
        <w:ind w:left="0"/>
        <w:jc w:val="both"/>
        <w:rPr>
          <w:rFonts w:ascii="Arial" w:hAnsi="Arial" w:cs="Arial"/>
          <w:szCs w:val="24"/>
        </w:rPr>
      </w:pPr>
    </w:p>
    <w:p w14:paraId="21E88A9D" w14:textId="4A63A539" w:rsidR="00E930E9" w:rsidRDefault="00187FEA" w:rsidP="00FB2439">
      <w:pPr>
        <w:pStyle w:val="Prrafodelista"/>
        <w:widowControl w:val="0"/>
        <w:numPr>
          <w:ilvl w:val="0"/>
          <w:numId w:val="3"/>
        </w:numPr>
        <w:tabs>
          <w:tab w:val="left" w:pos="1134"/>
        </w:tabs>
        <w:ind w:left="0" w:firstLine="0"/>
        <w:jc w:val="both"/>
        <w:rPr>
          <w:rFonts w:ascii="Arial" w:hAnsi="Arial" w:cs="Arial"/>
          <w:szCs w:val="24"/>
        </w:rPr>
      </w:pPr>
      <w:r w:rsidRPr="00187FEA">
        <w:rPr>
          <w:rFonts w:ascii="Arial" w:hAnsi="Arial" w:cs="Arial"/>
          <w:szCs w:val="24"/>
        </w:rPr>
        <w:t>Que</w:t>
      </w:r>
      <w:r w:rsidR="004D4B37">
        <w:rPr>
          <w:rFonts w:ascii="Arial" w:hAnsi="Arial" w:cs="Arial"/>
          <w:szCs w:val="24"/>
        </w:rPr>
        <w:t xml:space="preserve">, </w:t>
      </w:r>
      <w:r w:rsidR="00EB50F5">
        <w:rPr>
          <w:rFonts w:ascii="Arial" w:hAnsi="Arial" w:cs="Arial"/>
          <w:szCs w:val="24"/>
        </w:rPr>
        <w:t>en relación con</w:t>
      </w:r>
      <w:r w:rsidR="00E930E9">
        <w:rPr>
          <w:rFonts w:ascii="Arial" w:hAnsi="Arial" w:cs="Arial"/>
          <w:szCs w:val="24"/>
        </w:rPr>
        <w:t xml:space="preserve"> la obligación</w:t>
      </w:r>
      <w:r w:rsidR="00EB50F5" w:rsidRPr="00EB50F5">
        <w:rPr>
          <w:rFonts w:ascii="Arial" w:hAnsi="Arial" w:cs="Arial"/>
          <w:szCs w:val="24"/>
        </w:rPr>
        <w:t xml:space="preserve"> </w:t>
      </w:r>
      <w:r w:rsidR="00EB50F5">
        <w:rPr>
          <w:rFonts w:ascii="Arial" w:hAnsi="Arial" w:cs="Arial"/>
          <w:szCs w:val="24"/>
        </w:rPr>
        <w:t>de Pemex Transformación Industrial</w:t>
      </w:r>
      <w:r w:rsidR="004D4B37">
        <w:rPr>
          <w:rFonts w:ascii="Arial" w:hAnsi="Arial" w:cs="Arial"/>
          <w:szCs w:val="24"/>
        </w:rPr>
        <w:t xml:space="preserve"> </w:t>
      </w:r>
      <w:r w:rsidR="00EB50F5">
        <w:rPr>
          <w:rFonts w:ascii="Arial" w:hAnsi="Arial" w:cs="Arial"/>
          <w:szCs w:val="24"/>
        </w:rPr>
        <w:t xml:space="preserve">de ceder a terceros </w:t>
      </w:r>
      <w:r w:rsidR="00EB50F5" w:rsidRPr="00E930E9">
        <w:rPr>
          <w:rFonts w:ascii="Arial" w:hAnsi="Arial" w:cs="Arial"/>
          <w:szCs w:val="24"/>
        </w:rPr>
        <w:t>distinto</w:t>
      </w:r>
      <w:r w:rsidR="00EB50F5">
        <w:rPr>
          <w:rFonts w:ascii="Arial" w:hAnsi="Arial" w:cs="Arial"/>
          <w:szCs w:val="24"/>
        </w:rPr>
        <w:t>s</w:t>
      </w:r>
      <w:r w:rsidR="00EB50F5" w:rsidRPr="00E930E9">
        <w:rPr>
          <w:rFonts w:ascii="Arial" w:hAnsi="Arial" w:cs="Arial"/>
          <w:szCs w:val="24"/>
        </w:rPr>
        <w:t xml:space="preserve"> </w:t>
      </w:r>
      <w:r w:rsidR="00EB50F5">
        <w:rPr>
          <w:rFonts w:ascii="Arial" w:hAnsi="Arial" w:cs="Arial"/>
          <w:szCs w:val="24"/>
        </w:rPr>
        <w:t>de</w:t>
      </w:r>
      <w:r w:rsidR="00EB50F5" w:rsidRPr="00E930E9">
        <w:rPr>
          <w:rFonts w:ascii="Arial" w:hAnsi="Arial" w:cs="Arial"/>
          <w:szCs w:val="24"/>
        </w:rPr>
        <w:t xml:space="preserve"> Petróleos Mexicanos capacidad para abastecer a estaciones de servicio que </w:t>
      </w:r>
      <w:r w:rsidR="00671802">
        <w:rPr>
          <w:rFonts w:ascii="Arial" w:hAnsi="Arial" w:cs="Arial"/>
          <w:szCs w:val="24"/>
        </w:rPr>
        <w:t>hayan sido</w:t>
      </w:r>
      <w:r w:rsidR="00EB50F5" w:rsidRPr="00E930E9">
        <w:rPr>
          <w:rFonts w:ascii="Arial" w:hAnsi="Arial" w:cs="Arial"/>
          <w:szCs w:val="24"/>
        </w:rPr>
        <w:t xml:space="preserve"> suministradas</w:t>
      </w:r>
      <w:r w:rsidR="00671802">
        <w:rPr>
          <w:rFonts w:ascii="Arial" w:hAnsi="Arial" w:cs="Arial"/>
          <w:szCs w:val="24"/>
        </w:rPr>
        <w:t xml:space="preserve"> hasta ese momento</w:t>
      </w:r>
      <w:r w:rsidR="00EB50F5" w:rsidRPr="00E930E9">
        <w:rPr>
          <w:rFonts w:ascii="Arial" w:hAnsi="Arial" w:cs="Arial"/>
          <w:szCs w:val="24"/>
        </w:rPr>
        <w:t xml:space="preserve"> por </w:t>
      </w:r>
      <w:r w:rsidR="00EB50F5">
        <w:rPr>
          <w:rFonts w:ascii="Arial" w:hAnsi="Arial" w:cs="Arial"/>
          <w:szCs w:val="24"/>
        </w:rPr>
        <w:t>dicha empresa productiva subsidiaria</w:t>
      </w:r>
      <w:r w:rsidR="004D4B37">
        <w:rPr>
          <w:rFonts w:ascii="Arial" w:hAnsi="Arial" w:cs="Arial"/>
          <w:szCs w:val="24"/>
        </w:rPr>
        <w:t>, y</w:t>
      </w:r>
      <w:r w:rsidRPr="00187FEA">
        <w:rPr>
          <w:rFonts w:ascii="Arial" w:hAnsi="Arial" w:cs="Arial"/>
          <w:szCs w:val="24"/>
        </w:rPr>
        <w:t xml:space="preserve"> bajo el contexto actual de libre importación de petrolíferos</w:t>
      </w:r>
      <w:r w:rsidR="00E930E9">
        <w:rPr>
          <w:rFonts w:ascii="Arial" w:hAnsi="Arial" w:cs="Arial"/>
          <w:szCs w:val="24"/>
        </w:rPr>
        <w:t xml:space="preserve"> y de liberalización</w:t>
      </w:r>
      <w:r w:rsidRPr="00187FEA">
        <w:rPr>
          <w:rFonts w:ascii="Arial" w:hAnsi="Arial" w:cs="Arial"/>
          <w:szCs w:val="24"/>
        </w:rPr>
        <w:t xml:space="preserve"> del precio de las gasolinas y diésel a partir de condiciones de mercado, la Comisión considera necesario </w:t>
      </w:r>
      <w:r w:rsidR="00FB2439">
        <w:rPr>
          <w:rFonts w:ascii="Arial" w:hAnsi="Arial" w:cs="Arial"/>
          <w:szCs w:val="24"/>
        </w:rPr>
        <w:t>p</w:t>
      </w:r>
      <w:r w:rsidR="00EB50F5" w:rsidRPr="00FB2439">
        <w:rPr>
          <w:rFonts w:ascii="Arial" w:hAnsi="Arial" w:cs="Arial"/>
          <w:szCs w:val="24"/>
        </w:rPr>
        <w:t>recisar que la aludida</w:t>
      </w:r>
      <w:r w:rsidR="008B680C" w:rsidRPr="00FB2439">
        <w:rPr>
          <w:rFonts w:ascii="Arial" w:hAnsi="Arial" w:cs="Arial"/>
          <w:szCs w:val="24"/>
        </w:rPr>
        <w:t xml:space="preserve"> obligación</w:t>
      </w:r>
      <w:r w:rsidR="00072E08">
        <w:rPr>
          <w:rFonts w:ascii="Arial" w:hAnsi="Arial" w:cs="Arial"/>
          <w:szCs w:val="24"/>
        </w:rPr>
        <w:t xml:space="preserve"> se refiere a la capacidad actualmente utilizada por </w:t>
      </w:r>
      <w:r w:rsidR="000F678F">
        <w:rPr>
          <w:rFonts w:ascii="Arial" w:hAnsi="Arial" w:cs="Arial"/>
          <w:szCs w:val="24"/>
        </w:rPr>
        <w:t>Petróleos Mexicanos, en su calidad de comercializador,</w:t>
      </w:r>
      <w:r w:rsidR="00072E08">
        <w:rPr>
          <w:rFonts w:ascii="Arial" w:hAnsi="Arial" w:cs="Arial"/>
          <w:szCs w:val="24"/>
        </w:rPr>
        <w:t xml:space="preserve"> en </w:t>
      </w:r>
      <w:r w:rsidR="002850A3">
        <w:rPr>
          <w:rFonts w:ascii="Arial" w:hAnsi="Arial" w:cs="Arial"/>
          <w:szCs w:val="24"/>
        </w:rPr>
        <w:t xml:space="preserve">todos </w:t>
      </w:r>
      <w:r w:rsidR="00072E08">
        <w:rPr>
          <w:rFonts w:ascii="Arial" w:hAnsi="Arial" w:cs="Arial"/>
          <w:szCs w:val="24"/>
        </w:rPr>
        <w:t>los sistemas</w:t>
      </w:r>
      <w:r w:rsidR="002850A3">
        <w:rPr>
          <w:rFonts w:ascii="Arial" w:hAnsi="Arial" w:cs="Arial"/>
          <w:szCs w:val="24"/>
        </w:rPr>
        <w:t xml:space="preserve"> </w:t>
      </w:r>
      <w:proofErr w:type="spellStart"/>
      <w:r w:rsidR="002850A3">
        <w:rPr>
          <w:rFonts w:ascii="Arial" w:hAnsi="Arial" w:cs="Arial"/>
          <w:szCs w:val="24"/>
        </w:rPr>
        <w:t>permisionados</w:t>
      </w:r>
      <w:proofErr w:type="spellEnd"/>
      <w:r w:rsidR="00072E08">
        <w:rPr>
          <w:rFonts w:ascii="Arial" w:hAnsi="Arial" w:cs="Arial"/>
          <w:szCs w:val="24"/>
        </w:rPr>
        <w:t xml:space="preserve"> de almace</w:t>
      </w:r>
      <w:r w:rsidR="00112E72">
        <w:rPr>
          <w:rFonts w:ascii="Arial" w:hAnsi="Arial" w:cs="Arial"/>
          <w:szCs w:val="24"/>
        </w:rPr>
        <w:t>namiento y transporte por ducto.</w:t>
      </w:r>
      <w:r w:rsidR="003F1182">
        <w:rPr>
          <w:rFonts w:ascii="Arial" w:hAnsi="Arial" w:cs="Arial"/>
          <w:szCs w:val="24"/>
        </w:rPr>
        <w:t xml:space="preserve"> </w:t>
      </w:r>
    </w:p>
    <w:p w14:paraId="711A61D4" w14:textId="77777777" w:rsidR="00E930E9" w:rsidRDefault="00E930E9" w:rsidP="00E930E9">
      <w:pPr>
        <w:tabs>
          <w:tab w:val="left" w:pos="1134"/>
        </w:tabs>
        <w:jc w:val="both"/>
        <w:rPr>
          <w:rFonts w:cs="Arial"/>
        </w:rPr>
      </w:pPr>
    </w:p>
    <w:p w14:paraId="6456C438" w14:textId="190D6E4B" w:rsidR="009B0C22" w:rsidRDefault="009B0C22" w:rsidP="009B0C22">
      <w:pPr>
        <w:pStyle w:val="Prrafodelista"/>
        <w:widowControl w:val="0"/>
        <w:numPr>
          <w:ilvl w:val="0"/>
          <w:numId w:val="3"/>
        </w:numPr>
        <w:tabs>
          <w:tab w:val="left" w:pos="1134"/>
        </w:tabs>
        <w:ind w:left="0" w:firstLine="0"/>
        <w:jc w:val="both"/>
        <w:rPr>
          <w:rFonts w:ascii="Arial" w:hAnsi="Arial" w:cs="Arial"/>
          <w:szCs w:val="24"/>
        </w:rPr>
      </w:pPr>
      <w:r>
        <w:rPr>
          <w:rFonts w:ascii="Arial" w:hAnsi="Arial" w:cs="Arial"/>
          <w:szCs w:val="24"/>
        </w:rPr>
        <w:t>Que</w:t>
      </w:r>
      <w:r w:rsidR="00FC1FBD">
        <w:rPr>
          <w:rFonts w:ascii="Arial" w:hAnsi="Arial" w:cs="Arial"/>
          <w:szCs w:val="24"/>
        </w:rPr>
        <w:t>,</w:t>
      </w:r>
      <w:r>
        <w:rPr>
          <w:rFonts w:ascii="Arial" w:hAnsi="Arial" w:cs="Arial"/>
          <w:szCs w:val="24"/>
        </w:rPr>
        <w:t xml:space="preserve"> en congruencia con lo antes señalado, resulta necesario modificar</w:t>
      </w:r>
      <w:r w:rsidRPr="00E930E9">
        <w:rPr>
          <w:rFonts w:ascii="Arial" w:hAnsi="Arial" w:cs="Arial"/>
          <w:szCs w:val="24"/>
        </w:rPr>
        <w:t xml:space="preserve"> la disposición séptima transitoria de </w:t>
      </w:r>
      <w:r>
        <w:rPr>
          <w:rFonts w:ascii="Arial" w:hAnsi="Arial" w:cs="Arial"/>
          <w:szCs w:val="24"/>
        </w:rPr>
        <w:t>las DACG</w:t>
      </w:r>
      <w:r w:rsidRPr="00E930E9">
        <w:rPr>
          <w:rFonts w:ascii="Arial" w:hAnsi="Arial" w:cs="Arial"/>
          <w:szCs w:val="24"/>
        </w:rPr>
        <w:t>,</w:t>
      </w:r>
      <w:r w:rsidR="002850A3">
        <w:rPr>
          <w:rFonts w:ascii="Arial" w:hAnsi="Arial" w:cs="Arial"/>
          <w:szCs w:val="24"/>
        </w:rPr>
        <w:t xml:space="preserve"> referida en la Resolución RES/184/2016,</w:t>
      </w:r>
      <w:r w:rsidRPr="00E930E9">
        <w:rPr>
          <w:rFonts w:ascii="Arial" w:hAnsi="Arial" w:cs="Arial"/>
          <w:szCs w:val="24"/>
        </w:rPr>
        <w:t xml:space="preserve"> a fin de que </w:t>
      </w:r>
      <w:r w:rsidR="00A20624">
        <w:rPr>
          <w:rFonts w:ascii="Arial" w:hAnsi="Arial" w:cs="Arial"/>
          <w:szCs w:val="24"/>
        </w:rPr>
        <w:t>la compra de producto objeto de venta de primera mano</w:t>
      </w:r>
      <w:r w:rsidR="002968DC">
        <w:rPr>
          <w:rFonts w:ascii="Arial" w:hAnsi="Arial" w:cs="Arial"/>
          <w:szCs w:val="24"/>
        </w:rPr>
        <w:t xml:space="preserve"> (ya sea de origen nacional o de importación, por parte de Pemex)</w:t>
      </w:r>
      <w:r w:rsidR="00A20624">
        <w:rPr>
          <w:rFonts w:ascii="Arial" w:hAnsi="Arial" w:cs="Arial"/>
          <w:szCs w:val="24"/>
        </w:rPr>
        <w:t xml:space="preserve">, </w:t>
      </w:r>
      <w:r w:rsidR="003C5DD3">
        <w:rPr>
          <w:rFonts w:ascii="Arial" w:hAnsi="Arial" w:cs="Arial"/>
          <w:szCs w:val="24"/>
        </w:rPr>
        <w:t xml:space="preserve">así como </w:t>
      </w:r>
      <w:r w:rsidR="003C5DD3" w:rsidRPr="00E930E9">
        <w:rPr>
          <w:rFonts w:ascii="Arial" w:hAnsi="Arial" w:cs="Arial"/>
          <w:szCs w:val="24"/>
        </w:rPr>
        <w:t>las importac</w:t>
      </w:r>
      <w:r w:rsidR="003C5DD3">
        <w:rPr>
          <w:rFonts w:ascii="Arial" w:hAnsi="Arial" w:cs="Arial"/>
          <w:szCs w:val="24"/>
        </w:rPr>
        <w:t>iones de combustible</w:t>
      </w:r>
      <w:r w:rsidR="003C5DD3" w:rsidRPr="00E930E9">
        <w:rPr>
          <w:rFonts w:ascii="Arial" w:hAnsi="Arial" w:cs="Arial"/>
          <w:szCs w:val="24"/>
        </w:rPr>
        <w:t>s</w:t>
      </w:r>
      <w:r w:rsidRPr="00E930E9">
        <w:rPr>
          <w:rFonts w:ascii="Arial" w:hAnsi="Arial" w:cs="Arial"/>
          <w:szCs w:val="24"/>
        </w:rPr>
        <w:t xml:space="preserve"> </w:t>
      </w:r>
      <w:r w:rsidR="002968DC">
        <w:rPr>
          <w:rFonts w:ascii="Arial" w:hAnsi="Arial" w:cs="Arial"/>
          <w:szCs w:val="24"/>
        </w:rPr>
        <w:t>que realicen directamente los</w:t>
      </w:r>
      <w:r w:rsidRPr="00E930E9">
        <w:rPr>
          <w:rFonts w:ascii="Arial" w:hAnsi="Arial" w:cs="Arial"/>
          <w:szCs w:val="24"/>
        </w:rPr>
        <w:t xml:space="preserve"> terceros puedan ser consideradas para la obligación de cesión de capacidad por parte de </w:t>
      </w:r>
      <w:r w:rsidR="00112E72">
        <w:rPr>
          <w:rFonts w:ascii="Arial" w:hAnsi="Arial" w:cs="Arial"/>
          <w:szCs w:val="24"/>
        </w:rPr>
        <w:t>Petróleos Mexicanos en su calidad de comercializador</w:t>
      </w:r>
      <w:r w:rsidRPr="00E930E9">
        <w:rPr>
          <w:rFonts w:ascii="Arial" w:hAnsi="Arial" w:cs="Arial"/>
          <w:szCs w:val="24"/>
        </w:rPr>
        <w:t>.</w:t>
      </w:r>
    </w:p>
    <w:p w14:paraId="31F49E88" w14:textId="77777777" w:rsidR="00A302CF" w:rsidRDefault="00A302CF" w:rsidP="00A302CF">
      <w:pPr>
        <w:pStyle w:val="Prrafodelista"/>
        <w:widowControl w:val="0"/>
        <w:tabs>
          <w:tab w:val="left" w:pos="1134"/>
        </w:tabs>
        <w:ind w:left="0"/>
        <w:jc w:val="both"/>
        <w:rPr>
          <w:rFonts w:ascii="Arial" w:hAnsi="Arial" w:cs="Arial"/>
          <w:szCs w:val="24"/>
        </w:rPr>
      </w:pPr>
    </w:p>
    <w:p w14:paraId="2049405E" w14:textId="48A17FA6" w:rsidR="0020677D" w:rsidRDefault="0020677D" w:rsidP="0020677D">
      <w:pPr>
        <w:pStyle w:val="Prrafodelista"/>
        <w:widowControl w:val="0"/>
        <w:numPr>
          <w:ilvl w:val="0"/>
          <w:numId w:val="3"/>
        </w:numPr>
        <w:tabs>
          <w:tab w:val="left" w:pos="1134"/>
        </w:tabs>
        <w:ind w:left="0" w:firstLine="0"/>
        <w:jc w:val="both"/>
        <w:rPr>
          <w:rFonts w:ascii="Arial" w:hAnsi="Arial" w:cs="Arial"/>
          <w:szCs w:val="24"/>
        </w:rPr>
      </w:pPr>
      <w:r>
        <w:rPr>
          <w:rFonts w:ascii="Arial" w:hAnsi="Arial" w:cs="Arial"/>
          <w:szCs w:val="24"/>
        </w:rPr>
        <w:t xml:space="preserve">Que la Comisión </w:t>
      </w:r>
      <w:r w:rsidR="005C39AA">
        <w:rPr>
          <w:rFonts w:ascii="Arial" w:hAnsi="Arial" w:cs="Arial"/>
          <w:szCs w:val="24"/>
        </w:rPr>
        <w:t>evaluará</w:t>
      </w:r>
      <w:r>
        <w:rPr>
          <w:rFonts w:ascii="Arial" w:hAnsi="Arial" w:cs="Arial"/>
          <w:szCs w:val="24"/>
        </w:rPr>
        <w:t xml:space="preserve"> la capacidad objeto de ser cedida por parte de </w:t>
      </w:r>
      <w:r w:rsidR="00112E72">
        <w:rPr>
          <w:rFonts w:ascii="Arial" w:hAnsi="Arial" w:cs="Arial"/>
          <w:szCs w:val="24"/>
        </w:rPr>
        <w:t>Petróleos Mexicanos en su calidad de comercializador,</w:t>
      </w:r>
      <w:r>
        <w:rPr>
          <w:rFonts w:ascii="Arial" w:hAnsi="Arial" w:cs="Arial"/>
          <w:szCs w:val="24"/>
        </w:rPr>
        <w:t xml:space="preserve"> para cada sistema de transporte por ducto y almacenamiento </w:t>
      </w:r>
      <w:proofErr w:type="spellStart"/>
      <w:r>
        <w:rPr>
          <w:rFonts w:ascii="Arial" w:hAnsi="Arial" w:cs="Arial"/>
          <w:szCs w:val="24"/>
        </w:rPr>
        <w:t>permisionado</w:t>
      </w:r>
      <w:proofErr w:type="spellEnd"/>
      <w:r>
        <w:rPr>
          <w:rFonts w:ascii="Arial" w:hAnsi="Arial" w:cs="Arial"/>
          <w:szCs w:val="24"/>
        </w:rPr>
        <w:t xml:space="preserve">. Lo anterior, a efecto de liberar capacidad de la infraestructura utilizada por </w:t>
      </w:r>
      <w:r w:rsidR="00112E72">
        <w:rPr>
          <w:rFonts w:ascii="Arial" w:hAnsi="Arial" w:cs="Arial"/>
          <w:szCs w:val="24"/>
        </w:rPr>
        <w:t>Petróleos Mexicanos</w:t>
      </w:r>
      <w:r>
        <w:rPr>
          <w:rFonts w:ascii="Arial" w:hAnsi="Arial" w:cs="Arial"/>
          <w:szCs w:val="24"/>
        </w:rPr>
        <w:t xml:space="preserve"> y, </w:t>
      </w:r>
      <w:r w:rsidRPr="00AE1EF9">
        <w:rPr>
          <w:rFonts w:ascii="Arial" w:hAnsi="Arial" w:cs="Arial"/>
          <w:szCs w:val="24"/>
        </w:rPr>
        <w:t xml:space="preserve">con ello, </w:t>
      </w:r>
      <w:r w:rsidR="00112E72">
        <w:rPr>
          <w:rFonts w:ascii="Arial" w:hAnsi="Arial" w:cs="Arial"/>
          <w:szCs w:val="24"/>
        </w:rPr>
        <w:t xml:space="preserve">permitir la participación de otros comercializadores en el mercado de petrolíferos, </w:t>
      </w:r>
      <w:r>
        <w:rPr>
          <w:rFonts w:ascii="Arial" w:hAnsi="Arial" w:cs="Arial"/>
          <w:szCs w:val="24"/>
        </w:rPr>
        <w:t xml:space="preserve">de manera que sea posible transitar a un esquema de </w:t>
      </w:r>
      <w:r>
        <w:rPr>
          <w:rFonts w:ascii="Arial" w:hAnsi="Arial" w:cs="Arial"/>
          <w:szCs w:val="24"/>
        </w:rPr>
        <w:lastRenderedPageBreak/>
        <w:t xml:space="preserve">competencia en </w:t>
      </w:r>
      <w:r w:rsidR="00112E72">
        <w:rPr>
          <w:rFonts w:ascii="Arial" w:hAnsi="Arial" w:cs="Arial"/>
          <w:szCs w:val="24"/>
        </w:rPr>
        <w:t>este</w:t>
      </w:r>
      <w:r>
        <w:rPr>
          <w:rFonts w:ascii="Arial" w:hAnsi="Arial" w:cs="Arial"/>
          <w:szCs w:val="24"/>
        </w:rPr>
        <w:t xml:space="preserve"> mercado</w:t>
      </w:r>
      <w:r w:rsidR="00112E72">
        <w:rPr>
          <w:rFonts w:ascii="Arial" w:hAnsi="Arial" w:cs="Arial"/>
          <w:szCs w:val="24"/>
        </w:rPr>
        <w:t xml:space="preserve">. </w:t>
      </w:r>
    </w:p>
    <w:p w14:paraId="0CF4452D" w14:textId="77777777" w:rsidR="00E747B6" w:rsidRDefault="00E747B6" w:rsidP="0094128B">
      <w:pPr>
        <w:pStyle w:val="Prrafodelista"/>
        <w:widowControl w:val="0"/>
        <w:tabs>
          <w:tab w:val="left" w:pos="1134"/>
        </w:tabs>
        <w:ind w:left="0"/>
        <w:jc w:val="both"/>
        <w:rPr>
          <w:rFonts w:ascii="Arial" w:hAnsi="Arial" w:cs="Arial"/>
          <w:szCs w:val="24"/>
        </w:rPr>
      </w:pPr>
    </w:p>
    <w:p w14:paraId="23931F83" w14:textId="54E83E37" w:rsidR="00F11BAC" w:rsidRDefault="00E747B6" w:rsidP="006E0FD0">
      <w:pPr>
        <w:pStyle w:val="Prrafodelista"/>
        <w:widowControl w:val="0"/>
        <w:numPr>
          <w:ilvl w:val="0"/>
          <w:numId w:val="3"/>
        </w:numPr>
        <w:tabs>
          <w:tab w:val="left" w:pos="1134"/>
        </w:tabs>
        <w:ind w:left="0" w:firstLine="0"/>
        <w:jc w:val="both"/>
        <w:rPr>
          <w:rFonts w:ascii="Arial" w:hAnsi="Arial" w:cs="Arial"/>
          <w:szCs w:val="24"/>
        </w:rPr>
      </w:pPr>
      <w:r w:rsidRPr="00C26780">
        <w:rPr>
          <w:rFonts w:ascii="Arial" w:hAnsi="Arial" w:cs="Arial"/>
          <w:szCs w:val="24"/>
        </w:rPr>
        <w:t xml:space="preserve">Que </w:t>
      </w:r>
      <w:r w:rsidR="00B02E4A" w:rsidRPr="00C26780">
        <w:rPr>
          <w:rFonts w:ascii="Arial" w:hAnsi="Arial" w:cs="Arial"/>
          <w:szCs w:val="24"/>
        </w:rPr>
        <w:t>la cesión de capacidad a favor de terceros será exclusivamente aquella</w:t>
      </w:r>
      <w:r w:rsidR="00C26780" w:rsidRPr="00C26780">
        <w:rPr>
          <w:rFonts w:ascii="Arial" w:hAnsi="Arial" w:cs="Arial"/>
          <w:szCs w:val="24"/>
        </w:rPr>
        <w:t xml:space="preserve"> que está siendo empleada</w:t>
      </w:r>
      <w:r w:rsidR="00B02E4A" w:rsidRPr="00C26780">
        <w:rPr>
          <w:rFonts w:ascii="Arial" w:hAnsi="Arial" w:cs="Arial"/>
          <w:szCs w:val="24"/>
        </w:rPr>
        <w:t xml:space="preserve"> por </w:t>
      </w:r>
      <w:r w:rsidR="00112E72">
        <w:rPr>
          <w:rFonts w:ascii="Arial" w:hAnsi="Arial" w:cs="Arial"/>
          <w:szCs w:val="24"/>
        </w:rPr>
        <w:t xml:space="preserve">Petróleos Mexicanos en su calidad de comercializador, </w:t>
      </w:r>
      <w:r w:rsidR="00B02E4A" w:rsidRPr="00C26780">
        <w:rPr>
          <w:rFonts w:ascii="Arial" w:hAnsi="Arial" w:cs="Arial"/>
          <w:szCs w:val="24"/>
        </w:rPr>
        <w:t>para abastecer a estaciones de servicio y distribuidores que hay</w:t>
      </w:r>
      <w:r w:rsidR="005C70F7" w:rsidRPr="00C26780">
        <w:rPr>
          <w:rFonts w:ascii="Arial" w:hAnsi="Arial" w:cs="Arial"/>
          <w:szCs w:val="24"/>
        </w:rPr>
        <w:t>an sido suministrados hasta ese momento por dicha empresa productiva del Estado</w:t>
      </w:r>
      <w:r w:rsidR="00C26780">
        <w:rPr>
          <w:rFonts w:ascii="Arial" w:hAnsi="Arial" w:cs="Arial"/>
          <w:szCs w:val="24"/>
        </w:rPr>
        <w:t>.</w:t>
      </w:r>
    </w:p>
    <w:p w14:paraId="4418450B" w14:textId="7D8B3D92" w:rsidR="00883C7E" w:rsidRDefault="00883C7E" w:rsidP="00883C7E">
      <w:pPr>
        <w:pStyle w:val="Prrafodelista"/>
        <w:widowControl w:val="0"/>
        <w:tabs>
          <w:tab w:val="left" w:pos="1134"/>
        </w:tabs>
        <w:ind w:left="0"/>
        <w:jc w:val="both"/>
        <w:rPr>
          <w:rFonts w:ascii="Arial" w:hAnsi="Arial" w:cs="Arial"/>
          <w:szCs w:val="24"/>
        </w:rPr>
      </w:pPr>
    </w:p>
    <w:p w14:paraId="0773556C" w14:textId="4AD39007" w:rsidR="0076187A" w:rsidRDefault="00F07DAD" w:rsidP="0076187A">
      <w:pPr>
        <w:pStyle w:val="Prrafodelista"/>
        <w:widowControl w:val="0"/>
        <w:numPr>
          <w:ilvl w:val="0"/>
          <w:numId w:val="3"/>
        </w:numPr>
        <w:tabs>
          <w:tab w:val="left" w:pos="1134"/>
        </w:tabs>
        <w:ind w:left="0" w:firstLine="0"/>
        <w:jc w:val="both"/>
        <w:rPr>
          <w:rFonts w:ascii="Arial" w:hAnsi="Arial" w:cs="Arial"/>
          <w:szCs w:val="24"/>
        </w:rPr>
      </w:pPr>
      <w:r>
        <w:rPr>
          <w:rFonts w:ascii="Arial" w:hAnsi="Arial" w:cs="Arial"/>
          <w:szCs w:val="24"/>
        </w:rPr>
        <w:t>Que p</w:t>
      </w:r>
      <w:r w:rsidR="00883C7E" w:rsidRPr="00883C7E">
        <w:rPr>
          <w:rFonts w:ascii="Arial" w:hAnsi="Arial" w:cs="Arial"/>
          <w:szCs w:val="24"/>
        </w:rPr>
        <w:t xml:space="preserve">ara </w:t>
      </w:r>
      <w:r w:rsidR="00FB2439">
        <w:rPr>
          <w:rFonts w:ascii="Arial" w:hAnsi="Arial" w:cs="Arial"/>
          <w:szCs w:val="24"/>
        </w:rPr>
        <w:t>efectos de que Pemex Transformación Industrial</w:t>
      </w:r>
      <w:r w:rsidR="00112E72">
        <w:rPr>
          <w:rFonts w:ascii="Arial" w:hAnsi="Arial" w:cs="Arial"/>
          <w:szCs w:val="24"/>
        </w:rPr>
        <w:t>, como comercializador de Petróleos Mexicanos, y suministrador de la mayor parte de las estaciones de servicio,</w:t>
      </w:r>
      <w:r w:rsidR="00FB2439">
        <w:rPr>
          <w:rFonts w:ascii="Arial" w:hAnsi="Arial" w:cs="Arial"/>
          <w:szCs w:val="24"/>
        </w:rPr>
        <w:t xml:space="preserve"> </w:t>
      </w:r>
      <w:r w:rsidR="0017584A">
        <w:rPr>
          <w:rFonts w:ascii="Arial" w:hAnsi="Arial" w:cs="Arial"/>
          <w:szCs w:val="24"/>
        </w:rPr>
        <w:t>cumpla con la obligación de</w:t>
      </w:r>
      <w:r w:rsidR="00FB2439">
        <w:rPr>
          <w:rFonts w:ascii="Arial" w:hAnsi="Arial" w:cs="Arial"/>
          <w:szCs w:val="24"/>
        </w:rPr>
        <w:t xml:space="preserve"> ceder</w:t>
      </w:r>
      <w:r w:rsidR="00626D2F">
        <w:rPr>
          <w:rFonts w:ascii="Arial" w:hAnsi="Arial" w:cs="Arial"/>
          <w:szCs w:val="24"/>
        </w:rPr>
        <w:t xml:space="preserve"> </w:t>
      </w:r>
      <w:r w:rsidR="00883C7E" w:rsidRPr="00883C7E">
        <w:rPr>
          <w:rFonts w:ascii="Arial" w:hAnsi="Arial" w:cs="Arial"/>
          <w:szCs w:val="24"/>
        </w:rPr>
        <w:t xml:space="preserve">capacidad </w:t>
      </w:r>
      <w:r w:rsidR="00FB2439">
        <w:rPr>
          <w:rFonts w:ascii="Arial" w:hAnsi="Arial" w:cs="Arial"/>
          <w:szCs w:val="24"/>
        </w:rPr>
        <w:t xml:space="preserve">a favor de terceros que abastecerán </w:t>
      </w:r>
      <w:r w:rsidR="000F0514">
        <w:rPr>
          <w:rFonts w:ascii="Arial" w:hAnsi="Arial" w:cs="Arial"/>
          <w:szCs w:val="24"/>
        </w:rPr>
        <w:t xml:space="preserve">a distribuidores o </w:t>
      </w:r>
      <w:r w:rsidR="00FB2439">
        <w:rPr>
          <w:rFonts w:ascii="Arial" w:hAnsi="Arial" w:cs="Arial"/>
          <w:szCs w:val="24"/>
        </w:rPr>
        <w:t xml:space="preserve">estaciones de servicio que </w:t>
      </w:r>
      <w:r w:rsidR="005A04C3">
        <w:rPr>
          <w:rFonts w:ascii="Arial" w:hAnsi="Arial" w:cs="Arial"/>
          <w:szCs w:val="24"/>
        </w:rPr>
        <w:t>hayan</w:t>
      </w:r>
      <w:r w:rsidR="00FB2439">
        <w:rPr>
          <w:rFonts w:ascii="Arial" w:hAnsi="Arial" w:cs="Arial"/>
          <w:szCs w:val="24"/>
        </w:rPr>
        <w:t xml:space="preserve"> sido </w:t>
      </w:r>
      <w:r w:rsidR="000F0514">
        <w:rPr>
          <w:rFonts w:ascii="Arial" w:hAnsi="Arial" w:cs="Arial"/>
          <w:szCs w:val="24"/>
        </w:rPr>
        <w:t xml:space="preserve">suministrados </w:t>
      </w:r>
      <w:r w:rsidR="005A04C3">
        <w:rPr>
          <w:rFonts w:ascii="Arial" w:hAnsi="Arial" w:cs="Arial"/>
          <w:szCs w:val="24"/>
        </w:rPr>
        <w:t xml:space="preserve">hasta ese momento </w:t>
      </w:r>
      <w:r w:rsidR="00FB2439">
        <w:rPr>
          <w:rFonts w:ascii="Arial" w:hAnsi="Arial" w:cs="Arial"/>
          <w:szCs w:val="24"/>
        </w:rPr>
        <w:t>por dicha empresa productiva subsidiaria</w:t>
      </w:r>
      <w:r w:rsidR="00883C7E" w:rsidRPr="00883C7E">
        <w:rPr>
          <w:rFonts w:ascii="Arial" w:hAnsi="Arial" w:cs="Arial"/>
          <w:szCs w:val="24"/>
        </w:rPr>
        <w:t xml:space="preserve">, </w:t>
      </w:r>
      <w:r w:rsidR="00B24B6F">
        <w:rPr>
          <w:rFonts w:ascii="Arial" w:hAnsi="Arial" w:cs="Arial"/>
          <w:szCs w:val="24"/>
        </w:rPr>
        <w:t xml:space="preserve">filiales o sus comercializadores, </w:t>
      </w:r>
      <w:r w:rsidR="00883C7E" w:rsidRPr="00883C7E">
        <w:rPr>
          <w:rFonts w:ascii="Arial" w:hAnsi="Arial" w:cs="Arial"/>
          <w:szCs w:val="24"/>
        </w:rPr>
        <w:t xml:space="preserve">la Comisión considera necesario </w:t>
      </w:r>
      <w:r w:rsidR="002E2F9E">
        <w:rPr>
          <w:rFonts w:ascii="Arial" w:hAnsi="Arial" w:cs="Arial"/>
          <w:szCs w:val="24"/>
        </w:rPr>
        <w:t xml:space="preserve">precisar la manera en que Pemex llevará a cabo la sección de capacidad en los </w:t>
      </w:r>
      <w:r w:rsidR="00FB2439">
        <w:rPr>
          <w:rFonts w:ascii="Arial" w:hAnsi="Arial" w:cs="Arial"/>
          <w:szCs w:val="24"/>
        </w:rPr>
        <w:t xml:space="preserve">términos </w:t>
      </w:r>
      <w:r w:rsidR="002E2F9E">
        <w:rPr>
          <w:rFonts w:ascii="Arial" w:hAnsi="Arial" w:cs="Arial"/>
          <w:szCs w:val="24"/>
        </w:rPr>
        <w:t>señalados en el</w:t>
      </w:r>
      <w:r w:rsidR="0017584A">
        <w:rPr>
          <w:rFonts w:ascii="Arial" w:hAnsi="Arial" w:cs="Arial"/>
          <w:szCs w:val="24"/>
        </w:rPr>
        <w:t xml:space="preserve"> </w:t>
      </w:r>
      <w:r w:rsidR="00883C7E" w:rsidRPr="00883C7E">
        <w:rPr>
          <w:rFonts w:ascii="Arial" w:hAnsi="Arial" w:cs="Arial"/>
          <w:szCs w:val="24"/>
        </w:rPr>
        <w:t>Anexo Único</w:t>
      </w:r>
      <w:r w:rsidR="00254BB1">
        <w:rPr>
          <w:rFonts w:ascii="Arial" w:hAnsi="Arial" w:cs="Arial"/>
          <w:szCs w:val="24"/>
        </w:rPr>
        <w:t xml:space="preserve"> </w:t>
      </w:r>
      <w:r w:rsidR="001B5BC5">
        <w:rPr>
          <w:rFonts w:ascii="Arial" w:hAnsi="Arial" w:cs="Arial"/>
          <w:szCs w:val="24"/>
        </w:rPr>
        <w:t>del presente Acuerdo</w:t>
      </w:r>
      <w:r w:rsidR="00883C7E" w:rsidRPr="00883C7E">
        <w:rPr>
          <w:rFonts w:ascii="Arial" w:hAnsi="Arial" w:cs="Arial"/>
          <w:szCs w:val="24"/>
        </w:rPr>
        <w:t>.</w:t>
      </w:r>
    </w:p>
    <w:p w14:paraId="184C4C91" w14:textId="77777777" w:rsidR="0076187A" w:rsidRPr="0076187A" w:rsidRDefault="0076187A" w:rsidP="0076187A">
      <w:pPr>
        <w:pStyle w:val="Prrafodelista"/>
        <w:rPr>
          <w:rFonts w:cs="Arial"/>
          <w:szCs w:val="24"/>
        </w:rPr>
      </w:pPr>
    </w:p>
    <w:p w14:paraId="60EA661E" w14:textId="1689CA22" w:rsidR="0076187A" w:rsidRPr="009515E5" w:rsidRDefault="0076187A" w:rsidP="0076187A">
      <w:pPr>
        <w:pStyle w:val="Prrafodelista"/>
        <w:widowControl w:val="0"/>
        <w:numPr>
          <w:ilvl w:val="0"/>
          <w:numId w:val="3"/>
        </w:numPr>
        <w:tabs>
          <w:tab w:val="left" w:pos="1134"/>
        </w:tabs>
        <w:ind w:left="0" w:firstLine="0"/>
        <w:jc w:val="both"/>
        <w:rPr>
          <w:rFonts w:ascii="Arial" w:hAnsi="Arial" w:cs="Arial"/>
          <w:szCs w:val="24"/>
        </w:rPr>
      </w:pPr>
      <w:r w:rsidRPr="009515E5">
        <w:rPr>
          <w:rFonts w:ascii="Arial" w:hAnsi="Arial" w:cs="Arial"/>
          <w:szCs w:val="24"/>
        </w:rPr>
        <w:t xml:space="preserve">Que la Comisión considera necesario establecer que la capacidad objeto de cesión, en conjunto con la capacidad disponible, no podrá exceder el </w:t>
      </w:r>
      <w:r w:rsidR="00541D67" w:rsidRPr="009515E5">
        <w:rPr>
          <w:rFonts w:ascii="Arial" w:hAnsi="Arial" w:cs="Arial"/>
          <w:szCs w:val="24"/>
        </w:rPr>
        <w:t>6</w:t>
      </w:r>
      <w:r w:rsidRPr="009515E5">
        <w:rPr>
          <w:rFonts w:ascii="Arial" w:hAnsi="Arial" w:cs="Arial"/>
          <w:szCs w:val="24"/>
        </w:rPr>
        <w:t xml:space="preserve">0% de la capacidad operativa de los sistemas de </w:t>
      </w:r>
      <w:r w:rsidR="00541D67" w:rsidRPr="009515E5">
        <w:rPr>
          <w:rFonts w:ascii="Arial" w:hAnsi="Arial" w:cs="Arial"/>
          <w:szCs w:val="24"/>
        </w:rPr>
        <w:t>almacenamiento y transporte por ducto</w:t>
      </w:r>
      <w:r w:rsidR="00EC0E66" w:rsidRPr="009515E5">
        <w:rPr>
          <w:rFonts w:ascii="Arial" w:hAnsi="Arial" w:cs="Arial"/>
          <w:szCs w:val="24"/>
        </w:rPr>
        <w:t xml:space="preserve"> en cada zona referida en las Etapas de Temporada Abierta de Pemex Logística</w:t>
      </w:r>
      <w:r w:rsidRPr="009515E5">
        <w:rPr>
          <w:rFonts w:ascii="Arial" w:hAnsi="Arial" w:cs="Arial"/>
          <w:szCs w:val="24"/>
        </w:rPr>
        <w:t>, sin afectar con ello el desalojo de la producción nacional. Asimismo, la Comisión reitera que la asignación de la capacidad ya sea por cesión o por asignación vía Temporada Abierta, deberá cubrir el 30% de la demanda de cada zona referida en las Etapas de Temporada Abierta</w:t>
      </w:r>
      <w:r w:rsidR="00F02604" w:rsidRPr="009515E5">
        <w:rPr>
          <w:rFonts w:ascii="Arial" w:hAnsi="Arial" w:cs="Arial"/>
          <w:szCs w:val="24"/>
        </w:rPr>
        <w:t xml:space="preserve"> de Pemex Logística</w:t>
      </w:r>
      <w:r w:rsidRPr="009515E5">
        <w:rPr>
          <w:rFonts w:ascii="Arial" w:hAnsi="Arial" w:cs="Arial"/>
          <w:szCs w:val="24"/>
        </w:rPr>
        <w:t>, para poder retirar la regulación asimétrica d</w:t>
      </w:r>
      <w:r w:rsidR="001A67DF" w:rsidRPr="009515E5">
        <w:rPr>
          <w:rFonts w:ascii="Arial" w:hAnsi="Arial" w:cs="Arial"/>
          <w:szCs w:val="24"/>
        </w:rPr>
        <w:t xml:space="preserve">el precio de </w:t>
      </w:r>
      <w:r w:rsidRPr="009515E5">
        <w:rPr>
          <w:rFonts w:ascii="Arial" w:hAnsi="Arial" w:cs="Arial"/>
          <w:szCs w:val="24"/>
        </w:rPr>
        <w:t>Venta de Primera Mano a Pemex Transformación Industrial.</w:t>
      </w:r>
    </w:p>
    <w:p w14:paraId="398C9039" w14:textId="77777777" w:rsidR="00C532D2" w:rsidRPr="00C532D2" w:rsidRDefault="00C532D2" w:rsidP="00C532D2">
      <w:pPr>
        <w:pStyle w:val="Prrafodelista"/>
        <w:rPr>
          <w:rFonts w:ascii="Arial" w:hAnsi="Arial" w:cs="Arial"/>
          <w:szCs w:val="24"/>
        </w:rPr>
      </w:pPr>
    </w:p>
    <w:p w14:paraId="02A3B0B5" w14:textId="59B5C78B" w:rsidR="001B5BC5" w:rsidRDefault="001B5BC5" w:rsidP="001B5BC5">
      <w:pPr>
        <w:pStyle w:val="Prrafodelista"/>
        <w:widowControl w:val="0"/>
        <w:tabs>
          <w:tab w:val="left" w:pos="1134"/>
        </w:tabs>
        <w:ind w:left="0"/>
        <w:jc w:val="both"/>
        <w:rPr>
          <w:rFonts w:ascii="Arial" w:hAnsi="Arial" w:cs="Arial"/>
          <w:szCs w:val="24"/>
        </w:rPr>
      </w:pPr>
    </w:p>
    <w:p w14:paraId="4D3F3F6B" w14:textId="55C72515" w:rsidR="00EF4340" w:rsidRDefault="00EF4340" w:rsidP="00EF4340">
      <w:pPr>
        <w:jc w:val="both"/>
        <w:rPr>
          <w:rFonts w:cs="Arial"/>
        </w:rPr>
      </w:pPr>
      <w:r w:rsidRPr="004B06B3" w:rsidDel="00127398">
        <w:rPr>
          <w:rFonts w:cs="Arial"/>
        </w:rPr>
        <w:t xml:space="preserve">Por lo </w:t>
      </w:r>
      <w:r w:rsidR="00F201DA" w:rsidRPr="004B06B3">
        <w:rPr>
          <w:rFonts w:cs="Arial"/>
        </w:rPr>
        <w:t xml:space="preserve">anteriormente </w:t>
      </w:r>
      <w:r w:rsidRPr="004B06B3" w:rsidDel="00127398">
        <w:rPr>
          <w:rFonts w:cs="Arial"/>
        </w:rPr>
        <w:t xml:space="preserve">expuesto, y con fundamento </w:t>
      </w:r>
      <w:r w:rsidRPr="004B06B3">
        <w:rPr>
          <w:rFonts w:cs="Arial"/>
        </w:rPr>
        <w:t xml:space="preserve">en los artículos 2, fracción III y 43 Ter de la Ley Orgánica de la Administración Pública Federal; 1, 2, fracción II, 3, 4, primer párrafo, 5, 22, fracciones I, </w:t>
      </w:r>
      <w:r w:rsidR="00801BA5" w:rsidRPr="004B06B3">
        <w:rPr>
          <w:rFonts w:cs="Arial"/>
        </w:rPr>
        <w:t xml:space="preserve">II, </w:t>
      </w:r>
      <w:r w:rsidRPr="004B06B3">
        <w:rPr>
          <w:rFonts w:cs="Arial"/>
        </w:rPr>
        <w:t xml:space="preserve">III, </w:t>
      </w:r>
      <w:r w:rsidR="00D67057">
        <w:rPr>
          <w:rFonts w:cs="Arial"/>
        </w:rPr>
        <w:t xml:space="preserve">IV, </w:t>
      </w:r>
      <w:r w:rsidRPr="004B06B3">
        <w:rPr>
          <w:rFonts w:cs="Arial"/>
        </w:rPr>
        <w:t>X, XXIV y XXVII, 27,</w:t>
      </w:r>
      <w:r w:rsidR="00F17D77" w:rsidRPr="004B06B3">
        <w:rPr>
          <w:rFonts w:cs="Arial"/>
        </w:rPr>
        <w:t xml:space="preserve"> </w:t>
      </w:r>
      <w:r w:rsidRPr="004B06B3">
        <w:rPr>
          <w:rFonts w:cs="Arial"/>
          <w:lang w:val="es-ES_tradnl"/>
        </w:rPr>
        <w:t xml:space="preserve">41, fracción I y 42 de la </w:t>
      </w:r>
      <w:r w:rsidR="007827EC" w:rsidRPr="004B06B3">
        <w:rPr>
          <w:rFonts w:cs="Arial"/>
          <w:lang w:val="es-ES_tradnl"/>
        </w:rPr>
        <w:t>L</w:t>
      </w:r>
      <w:r w:rsidR="00624206">
        <w:rPr>
          <w:rFonts w:cs="Arial"/>
          <w:lang w:val="es-ES_tradnl"/>
        </w:rPr>
        <w:t xml:space="preserve">ey de los </w:t>
      </w:r>
      <w:r w:rsidR="00D67057">
        <w:rPr>
          <w:rFonts w:cs="Arial"/>
          <w:lang w:val="es-ES_tradnl"/>
        </w:rPr>
        <w:t>Ó</w:t>
      </w:r>
      <w:r w:rsidR="00624206">
        <w:rPr>
          <w:rFonts w:cs="Arial"/>
          <w:lang w:val="es-ES_tradnl"/>
        </w:rPr>
        <w:t xml:space="preserve">rganos </w:t>
      </w:r>
      <w:r w:rsidR="007827EC" w:rsidRPr="004B06B3">
        <w:rPr>
          <w:rFonts w:cs="Arial"/>
          <w:lang w:val="es-ES_tradnl"/>
        </w:rPr>
        <w:t>R</w:t>
      </w:r>
      <w:r w:rsidR="00624206">
        <w:rPr>
          <w:rFonts w:cs="Arial"/>
          <w:lang w:val="es-ES_tradnl"/>
        </w:rPr>
        <w:t xml:space="preserve">eguladores </w:t>
      </w:r>
      <w:r w:rsidR="007827EC" w:rsidRPr="004B06B3">
        <w:rPr>
          <w:rFonts w:cs="Arial"/>
          <w:lang w:val="es-ES_tradnl"/>
        </w:rPr>
        <w:t>C</w:t>
      </w:r>
      <w:r w:rsidR="00624206">
        <w:rPr>
          <w:rFonts w:cs="Arial"/>
          <w:lang w:val="es-ES_tradnl"/>
        </w:rPr>
        <w:t xml:space="preserve">oordinados en </w:t>
      </w:r>
      <w:r w:rsidR="007827EC" w:rsidRPr="004B06B3">
        <w:rPr>
          <w:rFonts w:cs="Arial"/>
          <w:lang w:val="es-ES_tradnl"/>
        </w:rPr>
        <w:t>M</w:t>
      </w:r>
      <w:r w:rsidR="00624206">
        <w:rPr>
          <w:rFonts w:cs="Arial"/>
          <w:lang w:val="es-ES_tradnl"/>
        </w:rPr>
        <w:t xml:space="preserve">ateria </w:t>
      </w:r>
      <w:r w:rsidR="007827EC" w:rsidRPr="004B06B3">
        <w:rPr>
          <w:rFonts w:cs="Arial"/>
          <w:lang w:val="es-ES_tradnl"/>
        </w:rPr>
        <w:t>E</w:t>
      </w:r>
      <w:r w:rsidR="00624206">
        <w:rPr>
          <w:rFonts w:cs="Arial"/>
          <w:lang w:val="es-ES_tradnl"/>
        </w:rPr>
        <w:t>nergética</w:t>
      </w:r>
      <w:r w:rsidRPr="004B06B3">
        <w:rPr>
          <w:rFonts w:cs="Arial"/>
          <w:lang w:val="es-ES_tradnl"/>
        </w:rPr>
        <w:t xml:space="preserve">; 1, 2, fracción IV, 5, segundo párrafo, 48, fracción II, </w:t>
      </w:r>
      <w:r w:rsidR="00F17D77" w:rsidRPr="004B06B3">
        <w:rPr>
          <w:rFonts w:cs="Arial"/>
          <w:lang w:val="es-ES_tradnl"/>
        </w:rPr>
        <w:t>81, fracción I, inciso a</w:t>
      </w:r>
      <w:r w:rsidRPr="004B06B3">
        <w:rPr>
          <w:rFonts w:cs="Arial"/>
          <w:lang w:val="es-ES_tradnl"/>
        </w:rPr>
        <w:t xml:space="preserve">), </w:t>
      </w:r>
      <w:r w:rsidR="00D67057">
        <w:rPr>
          <w:rFonts w:cs="Arial"/>
          <w:lang w:val="es-ES_tradnl"/>
        </w:rPr>
        <w:t xml:space="preserve">82, </w:t>
      </w:r>
      <w:r w:rsidRPr="004B06B3">
        <w:rPr>
          <w:rFonts w:cs="Arial"/>
          <w:lang w:val="es-ES_tradnl"/>
        </w:rPr>
        <w:t>95</w:t>
      </w:r>
      <w:r w:rsidR="00D67057">
        <w:rPr>
          <w:rFonts w:cs="Arial"/>
          <w:lang w:val="es-ES_tradnl"/>
        </w:rPr>
        <w:t>,</w:t>
      </w:r>
      <w:r w:rsidRPr="004B06B3">
        <w:rPr>
          <w:rFonts w:cs="Arial"/>
          <w:lang w:val="es-ES_tradnl"/>
        </w:rPr>
        <w:t xml:space="preserve"> 131 </w:t>
      </w:r>
      <w:r w:rsidR="00D67057">
        <w:rPr>
          <w:rFonts w:cs="Arial"/>
          <w:lang w:val="es-ES_tradnl"/>
        </w:rPr>
        <w:t xml:space="preserve">y transitorio Décimo Tercero </w:t>
      </w:r>
      <w:r w:rsidRPr="004B06B3">
        <w:rPr>
          <w:rFonts w:cs="Arial"/>
          <w:lang w:val="es-ES_tradnl"/>
        </w:rPr>
        <w:t xml:space="preserve">de la </w:t>
      </w:r>
      <w:r w:rsidR="007827EC" w:rsidRPr="004B06B3">
        <w:rPr>
          <w:rFonts w:cs="Arial"/>
          <w:lang w:val="es-ES_tradnl"/>
        </w:rPr>
        <w:t>L</w:t>
      </w:r>
      <w:r w:rsidR="00D67057">
        <w:rPr>
          <w:rFonts w:cs="Arial"/>
          <w:lang w:val="es-ES_tradnl"/>
        </w:rPr>
        <w:t xml:space="preserve">ey de </w:t>
      </w:r>
      <w:r w:rsidR="00CA3D9C" w:rsidRPr="004B06B3">
        <w:rPr>
          <w:rFonts w:cs="Arial"/>
          <w:lang w:val="es-ES_tradnl"/>
        </w:rPr>
        <w:t>H</w:t>
      </w:r>
      <w:r w:rsidR="00CA3D9C">
        <w:rPr>
          <w:rFonts w:cs="Arial"/>
          <w:lang w:val="es-ES_tradnl"/>
        </w:rPr>
        <w:t>idrocarburos</w:t>
      </w:r>
      <w:r w:rsidRPr="004B06B3">
        <w:rPr>
          <w:rFonts w:cs="Arial"/>
          <w:lang w:val="es-ES_tradnl"/>
        </w:rPr>
        <w:t xml:space="preserve">; </w:t>
      </w:r>
      <w:r w:rsidR="00D67057">
        <w:rPr>
          <w:rFonts w:cs="Arial"/>
          <w:lang w:val="es-ES_tradnl"/>
        </w:rPr>
        <w:t>4 y 16, fracciones VII y IX</w:t>
      </w:r>
      <w:r w:rsidRPr="004B06B3">
        <w:rPr>
          <w:rFonts w:cs="Arial"/>
          <w:lang w:val="es-ES_tradnl"/>
        </w:rPr>
        <w:t xml:space="preserve"> de la Ley Federal de Procedimiento Administrativo; </w:t>
      </w:r>
      <w:r w:rsidR="00F17D77" w:rsidRPr="004B06B3">
        <w:rPr>
          <w:rFonts w:cs="Arial"/>
          <w:lang w:val="es-ES_tradnl"/>
        </w:rPr>
        <w:t>1, 3, 5, fracción I</w:t>
      </w:r>
      <w:r w:rsidR="006B2164" w:rsidRPr="004B06B3">
        <w:rPr>
          <w:rFonts w:cs="Arial"/>
          <w:lang w:val="es-ES_tradnl"/>
        </w:rPr>
        <w:t>, 7</w:t>
      </w:r>
      <w:r w:rsidR="00EB3A0A" w:rsidRPr="004B06B3">
        <w:rPr>
          <w:rFonts w:cs="Arial"/>
          <w:lang w:val="es-ES_tradnl"/>
        </w:rPr>
        <w:t xml:space="preserve">, </w:t>
      </w:r>
      <w:r w:rsidR="00D67057">
        <w:rPr>
          <w:rFonts w:cs="Arial"/>
          <w:lang w:val="es-ES_tradnl"/>
        </w:rPr>
        <w:t xml:space="preserve">19, </w:t>
      </w:r>
      <w:r w:rsidR="00EB3A0A" w:rsidRPr="004B06B3">
        <w:rPr>
          <w:rFonts w:cs="Arial"/>
          <w:lang w:val="es-ES_tradnl"/>
        </w:rPr>
        <w:t>20</w:t>
      </w:r>
      <w:r w:rsidR="00D67057">
        <w:rPr>
          <w:rFonts w:cs="Arial"/>
          <w:lang w:val="es-ES_tradnl"/>
        </w:rPr>
        <w:t xml:space="preserve"> y</w:t>
      </w:r>
      <w:r w:rsidR="00EB3A0A" w:rsidRPr="004B06B3">
        <w:rPr>
          <w:rFonts w:cs="Arial"/>
          <w:lang w:val="es-ES_tradnl"/>
        </w:rPr>
        <w:t xml:space="preserve"> </w:t>
      </w:r>
      <w:r w:rsidR="00D67057">
        <w:rPr>
          <w:rFonts w:cs="Arial"/>
          <w:lang w:val="es-ES_tradnl"/>
        </w:rPr>
        <w:t>30</w:t>
      </w:r>
      <w:r w:rsidRPr="004B06B3">
        <w:rPr>
          <w:rFonts w:cs="Arial"/>
          <w:lang w:val="es-ES_tradnl"/>
        </w:rPr>
        <w:t xml:space="preserve"> del Reglamento</w:t>
      </w:r>
      <w:r w:rsidR="00D67057">
        <w:rPr>
          <w:rFonts w:cs="Arial"/>
          <w:lang w:val="es-ES_tradnl"/>
        </w:rPr>
        <w:t xml:space="preserve"> de las actividades a que se refiere el Título Tercero de la Ley de Hidrocarbur</w:t>
      </w:r>
      <w:r w:rsidR="00192E96">
        <w:rPr>
          <w:rFonts w:cs="Arial"/>
          <w:lang w:val="es-ES_tradnl"/>
        </w:rPr>
        <w:t>o</w:t>
      </w:r>
      <w:r w:rsidR="00D67057">
        <w:rPr>
          <w:rFonts w:cs="Arial"/>
          <w:lang w:val="es-ES_tradnl"/>
        </w:rPr>
        <w:t>s</w:t>
      </w:r>
      <w:r w:rsidRPr="004B06B3">
        <w:rPr>
          <w:rFonts w:cs="Arial"/>
          <w:lang w:val="es-ES_tradnl"/>
        </w:rPr>
        <w:t xml:space="preserve">, y </w:t>
      </w:r>
      <w:r w:rsidR="008E4D42" w:rsidRPr="004B06B3">
        <w:rPr>
          <w:rFonts w:cs="Arial"/>
          <w:lang w:val="es-ES_tradnl"/>
        </w:rPr>
        <w:t xml:space="preserve">1, </w:t>
      </w:r>
      <w:r w:rsidRPr="004B06B3" w:rsidDel="00127398">
        <w:rPr>
          <w:rFonts w:cs="Arial"/>
          <w:lang w:val="es-ES_tradnl"/>
        </w:rPr>
        <w:t xml:space="preserve">2, </w:t>
      </w:r>
      <w:r w:rsidR="002C480A">
        <w:rPr>
          <w:rFonts w:cs="Arial"/>
          <w:lang w:val="es-ES_tradnl"/>
        </w:rPr>
        <w:t>4</w:t>
      </w:r>
      <w:r w:rsidRPr="004B06B3" w:rsidDel="00127398">
        <w:rPr>
          <w:rFonts w:cs="Arial"/>
          <w:lang w:val="es-ES_tradnl"/>
        </w:rPr>
        <w:t xml:space="preserve">, </w:t>
      </w:r>
      <w:r w:rsidR="002C480A">
        <w:rPr>
          <w:rFonts w:cs="Arial"/>
          <w:lang w:val="es-ES_tradnl"/>
        </w:rPr>
        <w:t>7</w:t>
      </w:r>
      <w:r w:rsidRPr="004B06B3" w:rsidDel="00127398">
        <w:rPr>
          <w:rFonts w:cs="Arial"/>
          <w:lang w:val="es-ES_tradnl"/>
        </w:rPr>
        <w:t>, fracci</w:t>
      </w:r>
      <w:r w:rsidRPr="004B06B3">
        <w:rPr>
          <w:rFonts w:cs="Arial"/>
          <w:lang w:val="es-ES_tradnl"/>
        </w:rPr>
        <w:t>ón</w:t>
      </w:r>
      <w:r w:rsidR="008E4D42" w:rsidRPr="004B06B3">
        <w:rPr>
          <w:rFonts w:cs="Arial"/>
          <w:lang w:val="es-ES_tradnl"/>
        </w:rPr>
        <w:t xml:space="preserve"> I, </w:t>
      </w:r>
      <w:r w:rsidR="002C480A" w:rsidRPr="004B06B3">
        <w:rPr>
          <w:rFonts w:cs="Arial"/>
          <w:lang w:val="es-ES_tradnl"/>
        </w:rPr>
        <w:t>1</w:t>
      </w:r>
      <w:r w:rsidR="002C480A">
        <w:rPr>
          <w:rFonts w:cs="Arial"/>
          <w:lang w:val="es-ES_tradnl"/>
        </w:rPr>
        <w:t>2</w:t>
      </w:r>
      <w:r w:rsidR="00461C3F" w:rsidRPr="004B06B3">
        <w:rPr>
          <w:rFonts w:cs="Arial"/>
          <w:lang w:val="es-ES_tradnl"/>
        </w:rPr>
        <w:t xml:space="preserve">, primer </w:t>
      </w:r>
      <w:r w:rsidR="00AC49FC" w:rsidRPr="004B06B3">
        <w:rPr>
          <w:rFonts w:cs="Arial"/>
          <w:lang w:val="es-ES_tradnl"/>
        </w:rPr>
        <w:lastRenderedPageBreak/>
        <w:t>párrafo</w:t>
      </w:r>
      <w:r w:rsidR="008E4D42" w:rsidRPr="004B06B3">
        <w:rPr>
          <w:rFonts w:cs="Arial"/>
          <w:lang w:val="es-ES_tradnl"/>
        </w:rPr>
        <w:t>,</w:t>
      </w:r>
      <w:r w:rsidRPr="004B06B3">
        <w:rPr>
          <w:rFonts w:cs="Arial"/>
          <w:lang w:val="es-ES_tradnl"/>
        </w:rPr>
        <w:t xml:space="preserve"> </w:t>
      </w:r>
      <w:r w:rsidR="008E4D42" w:rsidRPr="004B06B3">
        <w:rPr>
          <w:rFonts w:cs="Arial"/>
          <w:lang w:val="es-ES_tradnl"/>
        </w:rPr>
        <w:t>16,</w:t>
      </w:r>
      <w:r w:rsidRPr="004B06B3">
        <w:rPr>
          <w:rFonts w:cs="Arial"/>
          <w:lang w:val="es-ES_tradnl"/>
        </w:rPr>
        <w:t xml:space="preserve"> </w:t>
      </w:r>
      <w:r w:rsidR="002C480A">
        <w:rPr>
          <w:rFonts w:cs="Arial"/>
          <w:lang w:val="es-ES_tradnl"/>
        </w:rPr>
        <w:t xml:space="preserve">18, </w:t>
      </w:r>
      <w:r w:rsidRPr="004B06B3" w:rsidDel="00127398">
        <w:rPr>
          <w:rFonts w:cs="Arial"/>
          <w:lang w:val="es-ES_tradnl"/>
        </w:rPr>
        <w:t>fracci</w:t>
      </w:r>
      <w:r w:rsidR="003871A8">
        <w:rPr>
          <w:rFonts w:cs="Arial"/>
          <w:lang w:val="es-ES_tradnl"/>
        </w:rPr>
        <w:t>ones</w:t>
      </w:r>
      <w:r w:rsidRPr="004B06B3" w:rsidDel="00127398">
        <w:rPr>
          <w:rFonts w:cs="Arial"/>
        </w:rPr>
        <w:t xml:space="preserve"> I</w:t>
      </w:r>
      <w:r w:rsidR="003871A8">
        <w:rPr>
          <w:rFonts w:cs="Arial"/>
        </w:rPr>
        <w:t xml:space="preserve">, II y </w:t>
      </w:r>
      <w:r w:rsidR="002C480A">
        <w:rPr>
          <w:rFonts w:cs="Arial"/>
        </w:rPr>
        <w:t>V</w:t>
      </w:r>
      <w:r w:rsidR="00E579ED" w:rsidRPr="004B06B3">
        <w:rPr>
          <w:rFonts w:cs="Arial"/>
        </w:rPr>
        <w:t xml:space="preserve"> </w:t>
      </w:r>
      <w:r w:rsidRPr="004B06B3" w:rsidDel="00127398">
        <w:rPr>
          <w:rFonts w:cs="Arial"/>
        </w:rPr>
        <w:t xml:space="preserve">del Reglamento Interno de la Comisión Reguladora de Energía, </w:t>
      </w:r>
      <w:r w:rsidRPr="004B06B3">
        <w:rPr>
          <w:rFonts w:cs="Arial"/>
        </w:rPr>
        <w:t>l</w:t>
      </w:r>
      <w:r w:rsidRPr="004B06B3" w:rsidDel="00127398">
        <w:rPr>
          <w:rFonts w:cs="Arial"/>
        </w:rPr>
        <w:t>a Comisión</w:t>
      </w:r>
      <w:r w:rsidRPr="004B06B3">
        <w:rPr>
          <w:rFonts w:cs="Arial"/>
        </w:rPr>
        <w:t xml:space="preserve"> Reguladora de Energía:</w:t>
      </w:r>
    </w:p>
    <w:p w14:paraId="0E70D453" w14:textId="77777777" w:rsidR="001B5BC5" w:rsidRPr="004B06B3" w:rsidDel="00127398" w:rsidRDefault="001B5BC5" w:rsidP="00EF4340">
      <w:pPr>
        <w:jc w:val="both"/>
        <w:rPr>
          <w:rFonts w:cs="Arial"/>
          <w:lang w:val="es-ES_tradnl"/>
        </w:rPr>
      </w:pPr>
    </w:p>
    <w:p w14:paraId="198E2F93" w14:textId="77777777" w:rsidR="00953BCF" w:rsidRPr="004B06B3" w:rsidRDefault="001B5BC5" w:rsidP="004743E1">
      <w:pPr>
        <w:pStyle w:val="Style4"/>
        <w:widowControl/>
        <w:spacing w:line="0" w:lineRule="atLeast"/>
        <w:mirrorIndents/>
        <w:jc w:val="center"/>
        <w:rPr>
          <w:rStyle w:val="FontStyle15"/>
          <w:i w:val="0"/>
          <w:spacing w:val="-2"/>
          <w:sz w:val="24"/>
          <w:szCs w:val="24"/>
          <w:lang w:val="es-ES_tradnl" w:eastAsia="es-ES_tradnl"/>
        </w:rPr>
      </w:pPr>
      <w:r>
        <w:rPr>
          <w:rStyle w:val="FontStyle15"/>
          <w:i w:val="0"/>
          <w:spacing w:val="-2"/>
          <w:sz w:val="24"/>
          <w:szCs w:val="24"/>
          <w:lang w:val="es-ES_tradnl" w:eastAsia="es-ES_tradnl"/>
        </w:rPr>
        <w:t>A C U E R D A</w:t>
      </w:r>
    </w:p>
    <w:p w14:paraId="7EC3CF73" w14:textId="77777777" w:rsidR="00FA5C81" w:rsidRDefault="00FA5C81" w:rsidP="004743E1">
      <w:pPr>
        <w:pStyle w:val="Style2"/>
        <w:widowControl/>
        <w:spacing w:line="0" w:lineRule="atLeast"/>
        <w:mirrorIndents/>
        <w:rPr>
          <w:rFonts w:cs="Arial"/>
          <w:spacing w:val="-2"/>
        </w:rPr>
      </w:pPr>
    </w:p>
    <w:p w14:paraId="38FA5FB2" w14:textId="77777777" w:rsidR="0017584A" w:rsidRPr="003A4E19" w:rsidRDefault="0017584A" w:rsidP="0017584A">
      <w:pPr>
        <w:pStyle w:val="Style2"/>
        <w:widowControl/>
        <w:spacing w:line="0" w:lineRule="atLeast"/>
        <w:mirrorIndents/>
        <w:rPr>
          <w:rFonts w:cs="Arial"/>
          <w:spacing w:val="-2"/>
        </w:rPr>
      </w:pPr>
    </w:p>
    <w:p w14:paraId="7835FF4F" w14:textId="204E24A9" w:rsidR="0017584A" w:rsidRPr="00FA37B8" w:rsidRDefault="0017584A" w:rsidP="0017584A">
      <w:pPr>
        <w:pStyle w:val="Prrafodelista"/>
        <w:numPr>
          <w:ilvl w:val="0"/>
          <w:numId w:val="2"/>
        </w:numPr>
        <w:autoSpaceDE w:val="0"/>
        <w:autoSpaceDN w:val="0"/>
        <w:adjustRightInd w:val="0"/>
        <w:spacing w:line="0" w:lineRule="atLeast"/>
        <w:jc w:val="both"/>
        <w:rPr>
          <w:rFonts w:ascii="Arial" w:hAnsi="Arial" w:cs="Arial"/>
          <w:bCs/>
          <w:szCs w:val="24"/>
        </w:rPr>
      </w:pPr>
      <w:r>
        <w:rPr>
          <w:rFonts w:ascii="Arial" w:hAnsi="Arial" w:cs="Arial"/>
          <w:iCs/>
          <w:spacing w:val="-2"/>
          <w:szCs w:val="24"/>
        </w:rPr>
        <w:t>Se modifica la fracción II, inciso a)</w:t>
      </w:r>
      <w:r w:rsidR="00EA5E04">
        <w:rPr>
          <w:rFonts w:ascii="Arial" w:hAnsi="Arial" w:cs="Arial"/>
          <w:iCs/>
          <w:spacing w:val="-2"/>
          <w:szCs w:val="24"/>
        </w:rPr>
        <w:t>, párrafo cuarto,</w:t>
      </w:r>
      <w:r>
        <w:rPr>
          <w:rFonts w:ascii="Arial" w:hAnsi="Arial" w:cs="Arial"/>
          <w:iCs/>
          <w:spacing w:val="-2"/>
          <w:szCs w:val="24"/>
        </w:rPr>
        <w:t xml:space="preserve"> de la disposición séptima transitoria de las Disposiciones administrativas de carácter general en materia de acceso abierto y prestación de los servicios de transporte por ducto y almacenamiento de petrolíferos y petroquímicos que fueron emitidas mediante la resolución </w:t>
      </w:r>
      <w:r w:rsidRPr="0017584A">
        <w:rPr>
          <w:rFonts w:ascii="Arial" w:hAnsi="Arial" w:cs="Arial"/>
          <w:iCs/>
          <w:spacing w:val="-2"/>
          <w:szCs w:val="24"/>
        </w:rPr>
        <w:t>RES/899/201</w:t>
      </w:r>
      <w:r w:rsidR="009C36DA">
        <w:rPr>
          <w:rFonts w:ascii="Arial" w:hAnsi="Arial" w:cs="Arial"/>
          <w:iCs/>
          <w:spacing w:val="-2"/>
          <w:szCs w:val="24"/>
        </w:rPr>
        <w:t>5</w:t>
      </w:r>
      <w:r w:rsidRPr="0017584A">
        <w:rPr>
          <w:rFonts w:ascii="Arial" w:hAnsi="Arial" w:cs="Arial"/>
          <w:iCs/>
          <w:spacing w:val="-2"/>
          <w:szCs w:val="24"/>
        </w:rPr>
        <w:t xml:space="preserve"> y modificada</w:t>
      </w:r>
      <w:r>
        <w:rPr>
          <w:rFonts w:ascii="Arial" w:hAnsi="Arial" w:cs="Arial"/>
          <w:iCs/>
          <w:spacing w:val="-2"/>
          <w:szCs w:val="24"/>
        </w:rPr>
        <w:t>s</w:t>
      </w:r>
      <w:r w:rsidRPr="0017584A">
        <w:rPr>
          <w:rFonts w:ascii="Arial" w:hAnsi="Arial" w:cs="Arial"/>
          <w:iCs/>
          <w:spacing w:val="-2"/>
          <w:szCs w:val="24"/>
        </w:rPr>
        <w:t xml:space="preserve"> </w:t>
      </w:r>
      <w:r>
        <w:rPr>
          <w:rFonts w:ascii="Arial" w:hAnsi="Arial" w:cs="Arial"/>
          <w:iCs/>
          <w:spacing w:val="-2"/>
          <w:szCs w:val="24"/>
        </w:rPr>
        <w:t>mediante</w:t>
      </w:r>
      <w:r w:rsidRPr="0017584A">
        <w:rPr>
          <w:rFonts w:ascii="Arial" w:hAnsi="Arial" w:cs="Arial"/>
          <w:iCs/>
          <w:spacing w:val="-2"/>
          <w:szCs w:val="24"/>
        </w:rPr>
        <w:t xml:space="preserve"> la resolución </w:t>
      </w:r>
      <w:r>
        <w:rPr>
          <w:rFonts w:ascii="Arial" w:hAnsi="Arial" w:cs="Arial"/>
          <w:iCs/>
          <w:spacing w:val="-2"/>
          <w:szCs w:val="24"/>
        </w:rPr>
        <w:t>RES/184/2016, para quedar como sigue:</w:t>
      </w:r>
    </w:p>
    <w:p w14:paraId="4A907D20" w14:textId="77777777" w:rsidR="0017584A" w:rsidRDefault="0017584A" w:rsidP="0017584A">
      <w:pPr>
        <w:spacing w:line="0" w:lineRule="atLeast"/>
        <w:jc w:val="both"/>
        <w:rPr>
          <w:rStyle w:val="FontStyle17"/>
          <w:bCs/>
          <w:sz w:val="24"/>
          <w:szCs w:val="24"/>
        </w:rPr>
      </w:pPr>
    </w:p>
    <w:p w14:paraId="241CFF2E" w14:textId="1BF29D66" w:rsidR="0017584A" w:rsidRPr="00651235" w:rsidRDefault="0017584A" w:rsidP="0017584A">
      <w:pPr>
        <w:spacing w:line="0" w:lineRule="atLeast"/>
        <w:ind w:left="567" w:right="332"/>
        <w:jc w:val="both"/>
        <w:rPr>
          <w:sz w:val="22"/>
        </w:rPr>
      </w:pPr>
      <w:r w:rsidRPr="00651235">
        <w:rPr>
          <w:b/>
          <w:sz w:val="22"/>
        </w:rPr>
        <w:t>Séptimo.</w:t>
      </w:r>
      <w:r w:rsidRPr="00651235">
        <w:rPr>
          <w:sz w:val="22"/>
        </w:rPr>
        <w:t xml:space="preserve"> </w:t>
      </w:r>
      <w:r w:rsidR="007E6919">
        <w:rPr>
          <w:sz w:val="22"/>
        </w:rPr>
        <w:t>…</w:t>
      </w:r>
    </w:p>
    <w:p w14:paraId="1D509290" w14:textId="77777777" w:rsidR="0017584A" w:rsidRPr="005A62A0" w:rsidRDefault="0017584A" w:rsidP="0017584A">
      <w:pPr>
        <w:spacing w:line="0" w:lineRule="atLeast"/>
        <w:ind w:left="567" w:right="332"/>
        <w:jc w:val="both"/>
        <w:rPr>
          <w:sz w:val="18"/>
          <w:szCs w:val="18"/>
        </w:rPr>
      </w:pPr>
    </w:p>
    <w:p w14:paraId="37135F93" w14:textId="77777777" w:rsidR="007E6919" w:rsidRDefault="0017584A" w:rsidP="0017584A">
      <w:pPr>
        <w:spacing w:line="0" w:lineRule="atLeast"/>
        <w:ind w:left="851" w:right="332" w:hanging="284"/>
        <w:jc w:val="both"/>
        <w:rPr>
          <w:sz w:val="22"/>
        </w:rPr>
      </w:pPr>
      <w:r w:rsidRPr="00651235">
        <w:rPr>
          <w:b/>
          <w:sz w:val="22"/>
        </w:rPr>
        <w:t>II.</w:t>
      </w:r>
      <w:r w:rsidRPr="00651235">
        <w:rPr>
          <w:sz w:val="22"/>
        </w:rPr>
        <w:t xml:space="preserve"> </w:t>
      </w:r>
      <w:r w:rsidR="007E6919">
        <w:rPr>
          <w:sz w:val="22"/>
        </w:rPr>
        <w:tab/>
      </w:r>
      <w:r>
        <w:rPr>
          <w:sz w:val="22"/>
        </w:rPr>
        <w:t>…</w:t>
      </w:r>
    </w:p>
    <w:p w14:paraId="41CB49EE" w14:textId="2D111B0C" w:rsidR="007E6919" w:rsidRPr="005A62A0" w:rsidRDefault="007E6919" w:rsidP="0017584A">
      <w:pPr>
        <w:spacing w:line="0" w:lineRule="atLeast"/>
        <w:ind w:left="851" w:right="332" w:hanging="284"/>
        <w:jc w:val="both"/>
        <w:rPr>
          <w:sz w:val="18"/>
          <w:szCs w:val="18"/>
        </w:rPr>
      </w:pPr>
      <w:r>
        <w:rPr>
          <w:b/>
          <w:sz w:val="22"/>
        </w:rPr>
        <w:tab/>
      </w:r>
    </w:p>
    <w:p w14:paraId="2EE00661" w14:textId="1D1EF51E" w:rsidR="007E6919" w:rsidRPr="007E6919" w:rsidRDefault="007E6919" w:rsidP="0017584A">
      <w:pPr>
        <w:spacing w:line="0" w:lineRule="atLeast"/>
        <w:ind w:left="851" w:right="332" w:hanging="284"/>
        <w:jc w:val="both"/>
        <w:rPr>
          <w:b/>
          <w:sz w:val="22"/>
        </w:rPr>
      </w:pPr>
      <w:r>
        <w:rPr>
          <w:sz w:val="22"/>
        </w:rPr>
        <w:tab/>
      </w:r>
      <w:r w:rsidR="004C4489">
        <w:rPr>
          <w:b/>
          <w:sz w:val="22"/>
        </w:rPr>
        <w:t>a</w:t>
      </w:r>
      <w:r>
        <w:rPr>
          <w:b/>
          <w:sz w:val="22"/>
        </w:rPr>
        <w:t>)</w:t>
      </w:r>
      <w:r w:rsidRPr="007E6919">
        <w:rPr>
          <w:sz w:val="22"/>
        </w:rPr>
        <w:t xml:space="preserve"> …</w:t>
      </w:r>
    </w:p>
    <w:p w14:paraId="2F529199" w14:textId="77777777" w:rsidR="007E6919" w:rsidRPr="005A62A0" w:rsidRDefault="007E6919" w:rsidP="007E6919">
      <w:pPr>
        <w:spacing w:line="0" w:lineRule="atLeast"/>
        <w:ind w:left="851" w:right="332" w:hanging="284"/>
        <w:jc w:val="both"/>
        <w:rPr>
          <w:sz w:val="18"/>
          <w:szCs w:val="18"/>
        </w:rPr>
      </w:pPr>
    </w:p>
    <w:p w14:paraId="0DA85A33" w14:textId="77777777" w:rsidR="007E6919" w:rsidRPr="007E6919" w:rsidRDefault="007E6919" w:rsidP="007E6919">
      <w:pPr>
        <w:spacing w:line="0" w:lineRule="atLeast"/>
        <w:ind w:left="851" w:right="332"/>
        <w:jc w:val="both"/>
        <w:rPr>
          <w:sz w:val="22"/>
        </w:rPr>
      </w:pPr>
      <w:r w:rsidRPr="007E6919">
        <w:rPr>
          <w:sz w:val="22"/>
        </w:rPr>
        <w:t>…</w:t>
      </w:r>
      <w:bookmarkStart w:id="1" w:name="_GoBack"/>
      <w:bookmarkEnd w:id="1"/>
    </w:p>
    <w:p w14:paraId="0E99122C" w14:textId="77777777" w:rsidR="007E6919" w:rsidRPr="005A62A0" w:rsidRDefault="007E6919" w:rsidP="007E6919">
      <w:pPr>
        <w:spacing w:line="0" w:lineRule="atLeast"/>
        <w:ind w:left="851" w:right="332" w:hanging="284"/>
        <w:jc w:val="both"/>
        <w:rPr>
          <w:sz w:val="18"/>
          <w:szCs w:val="18"/>
        </w:rPr>
      </w:pPr>
      <w:r w:rsidRPr="007E6919">
        <w:rPr>
          <w:sz w:val="22"/>
        </w:rPr>
        <w:tab/>
      </w:r>
    </w:p>
    <w:p w14:paraId="215AEBF1" w14:textId="38C46849" w:rsidR="007E6919" w:rsidRDefault="007E6919" w:rsidP="007E6919">
      <w:pPr>
        <w:spacing w:line="0" w:lineRule="atLeast"/>
        <w:ind w:left="851" w:right="332"/>
        <w:jc w:val="both"/>
        <w:rPr>
          <w:sz w:val="22"/>
        </w:rPr>
      </w:pPr>
      <w:r w:rsidRPr="007E6919">
        <w:rPr>
          <w:sz w:val="22"/>
        </w:rPr>
        <w:t xml:space="preserve">… </w:t>
      </w:r>
    </w:p>
    <w:p w14:paraId="61E1932E" w14:textId="744B3910" w:rsidR="001A67DF" w:rsidRDefault="001A67DF" w:rsidP="007E6919">
      <w:pPr>
        <w:spacing w:line="0" w:lineRule="atLeast"/>
        <w:ind w:left="851" w:right="332"/>
        <w:jc w:val="both"/>
        <w:rPr>
          <w:sz w:val="22"/>
        </w:rPr>
      </w:pPr>
      <w:r w:rsidRPr="001A67DF">
        <w:rPr>
          <w:sz w:val="22"/>
        </w:rPr>
        <w:t xml:space="preserve">Petróleos Mexicanos, en su calidad de comercializador, podrá reservar la capacidad que le sea asignada como resultado de las Temporadas Abiertas. No obstante, cuando un tercero distinto al propio Petróleos Mexicanos, sus organismos subsidiarios, sus filiales y divisiones y cualquier otra persona contralada por dichas personas, requiera capacidad para transportar o almacenar gasolinas o diésel objeto de ventas de primera mano, </w:t>
      </w:r>
      <w:r w:rsidRPr="001A67DF">
        <w:rPr>
          <w:b/>
          <w:sz w:val="22"/>
          <w:u w:val="single"/>
        </w:rPr>
        <w:t>o provenientes de importaciones realizadas directamente por ellos, la reserva de</w:t>
      </w:r>
      <w:r w:rsidRPr="001A67DF">
        <w:rPr>
          <w:sz w:val="22"/>
        </w:rPr>
        <w:t xml:space="preserve"> capacidad que requiera dicho tercero para abastecer a distribuidores o estaciones de servicio que hayan sido suministrados hasta ese momento por dicha empresa productiva subsidiaria, filiales o sus comercializadores, deberá ser cedida por Petróleos Mexicanos, en su caso, </w:t>
      </w:r>
      <w:r w:rsidRPr="001A67DF">
        <w:rPr>
          <w:b/>
          <w:sz w:val="22"/>
          <w:u w:val="single"/>
        </w:rPr>
        <w:t>con independencia de que se haya celebrado un procedimiento de Temporada Abierta y</w:t>
      </w:r>
      <w:r w:rsidRPr="001A67DF">
        <w:rPr>
          <w:sz w:val="22"/>
        </w:rPr>
        <w:t xml:space="preserve"> conforme a la disposición 25 de las presentes DACG </w:t>
      </w:r>
      <w:r w:rsidRPr="001A67DF">
        <w:rPr>
          <w:b/>
          <w:sz w:val="22"/>
          <w:u w:val="single"/>
        </w:rPr>
        <w:t xml:space="preserve">y </w:t>
      </w:r>
      <w:r w:rsidR="002E2F9E">
        <w:rPr>
          <w:b/>
          <w:sz w:val="22"/>
          <w:u w:val="single"/>
        </w:rPr>
        <w:t>a lo que</w:t>
      </w:r>
      <w:r w:rsidRPr="001A67DF">
        <w:rPr>
          <w:b/>
          <w:sz w:val="22"/>
          <w:u w:val="single"/>
        </w:rPr>
        <w:t xml:space="preserve"> establezca la Comisión, </w:t>
      </w:r>
      <w:r w:rsidR="002E2F9E">
        <w:rPr>
          <w:b/>
          <w:sz w:val="22"/>
          <w:u w:val="single"/>
        </w:rPr>
        <w:t xml:space="preserve">sobre la capacidad objeto a ser cedida </w:t>
      </w:r>
      <w:r w:rsidRPr="001A67DF">
        <w:rPr>
          <w:b/>
          <w:sz w:val="22"/>
          <w:u w:val="single"/>
        </w:rPr>
        <w:t>por parte de Petróleos Mexicanos</w:t>
      </w:r>
      <w:r w:rsidR="002E2F9E">
        <w:rPr>
          <w:b/>
          <w:sz w:val="22"/>
          <w:u w:val="single"/>
        </w:rPr>
        <w:t>.</w:t>
      </w:r>
    </w:p>
    <w:p w14:paraId="496793BC" w14:textId="77777777" w:rsidR="0017584A" w:rsidRPr="00651235" w:rsidRDefault="0017584A" w:rsidP="0017584A">
      <w:pPr>
        <w:spacing w:line="0" w:lineRule="atLeast"/>
        <w:ind w:left="567" w:right="332"/>
        <w:jc w:val="both"/>
        <w:rPr>
          <w:sz w:val="22"/>
        </w:rPr>
      </w:pPr>
    </w:p>
    <w:p w14:paraId="5740A32E" w14:textId="64C6B7C1" w:rsidR="0017584A" w:rsidRPr="00651235" w:rsidRDefault="0017584A" w:rsidP="0017584A">
      <w:pPr>
        <w:spacing w:line="0" w:lineRule="atLeast"/>
        <w:ind w:left="567" w:right="332"/>
        <w:jc w:val="right"/>
        <w:rPr>
          <w:rStyle w:val="FontStyle17"/>
          <w:bCs/>
          <w:szCs w:val="24"/>
        </w:rPr>
      </w:pPr>
      <w:r w:rsidRPr="00651235">
        <w:rPr>
          <w:sz w:val="22"/>
        </w:rPr>
        <w:t>[Énfasis añadido]</w:t>
      </w:r>
    </w:p>
    <w:p w14:paraId="65C0EF1B" w14:textId="77777777" w:rsidR="0017584A" w:rsidRPr="00FA37B8" w:rsidRDefault="0017584A" w:rsidP="0017584A">
      <w:pPr>
        <w:spacing w:line="0" w:lineRule="atLeast"/>
        <w:jc w:val="both"/>
        <w:rPr>
          <w:rStyle w:val="FontStyle17"/>
          <w:bCs/>
          <w:sz w:val="24"/>
          <w:szCs w:val="24"/>
        </w:rPr>
      </w:pPr>
    </w:p>
    <w:p w14:paraId="35A1BF04" w14:textId="7243E969" w:rsidR="0017584A" w:rsidRDefault="0017584A" w:rsidP="0017584A">
      <w:pPr>
        <w:pStyle w:val="Prrafodelista"/>
        <w:numPr>
          <w:ilvl w:val="0"/>
          <w:numId w:val="2"/>
        </w:numPr>
        <w:autoSpaceDE w:val="0"/>
        <w:autoSpaceDN w:val="0"/>
        <w:adjustRightInd w:val="0"/>
        <w:spacing w:line="0" w:lineRule="atLeast"/>
        <w:jc w:val="both"/>
        <w:rPr>
          <w:rStyle w:val="FontStyle17"/>
          <w:bCs/>
          <w:sz w:val="24"/>
          <w:szCs w:val="24"/>
        </w:rPr>
      </w:pPr>
      <w:r w:rsidRPr="002D419B">
        <w:rPr>
          <w:rStyle w:val="FontStyle17"/>
          <w:bCs/>
          <w:sz w:val="24"/>
          <w:szCs w:val="24"/>
        </w:rPr>
        <w:lastRenderedPageBreak/>
        <w:t>S</w:t>
      </w:r>
      <w:r>
        <w:rPr>
          <w:rStyle w:val="FontStyle17"/>
          <w:bCs/>
          <w:sz w:val="24"/>
          <w:szCs w:val="24"/>
        </w:rPr>
        <w:t xml:space="preserve">e </w:t>
      </w:r>
      <w:r w:rsidR="002E2F9E">
        <w:rPr>
          <w:rStyle w:val="FontStyle17"/>
          <w:bCs/>
          <w:sz w:val="24"/>
          <w:szCs w:val="24"/>
        </w:rPr>
        <w:t xml:space="preserve">precisa la manera en que Pemex llevará a cabo </w:t>
      </w:r>
      <w:r w:rsidR="00EA5E04" w:rsidRPr="00EA5E04">
        <w:rPr>
          <w:rStyle w:val="FontStyle17"/>
          <w:bCs/>
          <w:sz w:val="24"/>
          <w:szCs w:val="24"/>
        </w:rPr>
        <w:t xml:space="preserve">la cesión de capacidad de transporte por ducto y almacenamiento de petrolíferos a favor de terceros que abastecerán </w:t>
      </w:r>
      <w:r w:rsidR="00BF30D0">
        <w:rPr>
          <w:rStyle w:val="FontStyle17"/>
          <w:bCs/>
          <w:sz w:val="24"/>
          <w:szCs w:val="24"/>
        </w:rPr>
        <w:t xml:space="preserve">a distribuidores o </w:t>
      </w:r>
      <w:r w:rsidR="00EA5E04" w:rsidRPr="00EA5E04">
        <w:rPr>
          <w:rStyle w:val="FontStyle17"/>
          <w:bCs/>
          <w:sz w:val="24"/>
          <w:szCs w:val="24"/>
        </w:rPr>
        <w:t xml:space="preserve">estaciones de servicio que </w:t>
      </w:r>
      <w:r w:rsidR="005A04C3">
        <w:rPr>
          <w:rStyle w:val="FontStyle17"/>
          <w:bCs/>
          <w:sz w:val="24"/>
          <w:szCs w:val="24"/>
        </w:rPr>
        <w:t>hayan</w:t>
      </w:r>
      <w:r w:rsidR="00EA5E04" w:rsidRPr="00EA5E04">
        <w:rPr>
          <w:rStyle w:val="FontStyle17"/>
          <w:bCs/>
          <w:sz w:val="24"/>
          <w:szCs w:val="24"/>
        </w:rPr>
        <w:t xml:space="preserve"> sido </w:t>
      </w:r>
      <w:r w:rsidR="000F0514" w:rsidRPr="00EA5E04">
        <w:rPr>
          <w:rStyle w:val="FontStyle17"/>
          <w:bCs/>
          <w:sz w:val="24"/>
          <w:szCs w:val="24"/>
        </w:rPr>
        <w:t>suministrad</w:t>
      </w:r>
      <w:r w:rsidR="000F0514">
        <w:rPr>
          <w:rStyle w:val="FontStyle17"/>
          <w:bCs/>
          <w:sz w:val="24"/>
          <w:szCs w:val="24"/>
        </w:rPr>
        <w:t>o</w:t>
      </w:r>
      <w:r w:rsidR="000F0514" w:rsidRPr="00EA5E04">
        <w:rPr>
          <w:rStyle w:val="FontStyle17"/>
          <w:bCs/>
          <w:sz w:val="24"/>
          <w:szCs w:val="24"/>
        </w:rPr>
        <w:t xml:space="preserve">s </w:t>
      </w:r>
      <w:r w:rsidR="005A04C3">
        <w:rPr>
          <w:rStyle w:val="FontStyle17"/>
          <w:bCs/>
          <w:sz w:val="24"/>
          <w:szCs w:val="24"/>
        </w:rPr>
        <w:t xml:space="preserve">hasta ese momento </w:t>
      </w:r>
      <w:r w:rsidR="00EA5E04" w:rsidRPr="00EA5E04">
        <w:rPr>
          <w:rStyle w:val="FontStyle17"/>
          <w:bCs/>
          <w:sz w:val="24"/>
          <w:szCs w:val="24"/>
        </w:rPr>
        <w:t>por Pemex Transformación Industrial</w:t>
      </w:r>
      <w:r w:rsidR="00EA5E04">
        <w:rPr>
          <w:rStyle w:val="FontStyle17"/>
          <w:bCs/>
          <w:sz w:val="24"/>
          <w:szCs w:val="24"/>
        </w:rPr>
        <w:t xml:space="preserve">, en términos del </w:t>
      </w:r>
      <w:r>
        <w:rPr>
          <w:rStyle w:val="FontStyle17"/>
          <w:bCs/>
          <w:sz w:val="24"/>
          <w:szCs w:val="24"/>
        </w:rPr>
        <w:t>Anexo Único de este Acuerdo.</w:t>
      </w:r>
    </w:p>
    <w:p w14:paraId="1929DEFD" w14:textId="77777777" w:rsidR="0017584A" w:rsidRDefault="0017584A" w:rsidP="0017584A">
      <w:pPr>
        <w:spacing w:line="0" w:lineRule="atLeast"/>
        <w:jc w:val="both"/>
        <w:rPr>
          <w:rStyle w:val="FontStyle17"/>
          <w:bCs/>
          <w:sz w:val="24"/>
          <w:szCs w:val="24"/>
        </w:rPr>
      </w:pPr>
    </w:p>
    <w:p w14:paraId="765C3DEA" w14:textId="3075A69C" w:rsidR="0017584A" w:rsidRPr="005F4324" w:rsidRDefault="0017584A" w:rsidP="0017584A">
      <w:pPr>
        <w:pStyle w:val="Prrafodelista"/>
        <w:numPr>
          <w:ilvl w:val="0"/>
          <w:numId w:val="2"/>
        </w:numPr>
        <w:autoSpaceDE w:val="0"/>
        <w:autoSpaceDN w:val="0"/>
        <w:adjustRightInd w:val="0"/>
        <w:spacing w:line="0" w:lineRule="atLeast"/>
        <w:jc w:val="both"/>
        <w:rPr>
          <w:rFonts w:ascii="Arial" w:hAnsi="Arial" w:cs="Arial"/>
          <w:spacing w:val="-2"/>
          <w:szCs w:val="24"/>
          <w:lang w:val="es-ES_tradnl" w:eastAsia="es-ES_tradnl"/>
        </w:rPr>
      </w:pPr>
      <w:r w:rsidRPr="004B06B3">
        <w:rPr>
          <w:rFonts w:ascii="Arial" w:hAnsi="Arial" w:cs="Arial"/>
          <w:spacing w:val="-2"/>
          <w:szCs w:val="24"/>
        </w:rPr>
        <w:t xml:space="preserve">Notifíquese </w:t>
      </w:r>
      <w:r>
        <w:rPr>
          <w:rFonts w:ascii="Arial" w:hAnsi="Arial" w:cs="Arial"/>
          <w:spacing w:val="-2"/>
          <w:szCs w:val="24"/>
        </w:rPr>
        <w:t>el presente Acuerdo</w:t>
      </w:r>
      <w:r w:rsidRPr="004B06B3">
        <w:rPr>
          <w:rFonts w:ascii="Arial" w:hAnsi="Arial" w:cs="Arial"/>
          <w:spacing w:val="-2"/>
          <w:szCs w:val="24"/>
        </w:rPr>
        <w:t xml:space="preserve"> a </w:t>
      </w:r>
      <w:r>
        <w:rPr>
          <w:rFonts w:ascii="Arial" w:hAnsi="Arial" w:cs="Arial"/>
          <w:spacing w:val="-2"/>
          <w:szCs w:val="24"/>
        </w:rPr>
        <w:t>Pemex Logística y a Pemex Transformación Industrial</w:t>
      </w:r>
      <w:r w:rsidRPr="004B06B3">
        <w:rPr>
          <w:rFonts w:ascii="Arial" w:hAnsi="Arial" w:cs="Arial"/>
          <w:spacing w:val="-2"/>
          <w:szCs w:val="24"/>
        </w:rPr>
        <w:t>.</w:t>
      </w:r>
    </w:p>
    <w:p w14:paraId="4BC02814" w14:textId="77777777" w:rsidR="0017584A" w:rsidRPr="005F4324" w:rsidRDefault="0017584A" w:rsidP="0017584A">
      <w:pPr>
        <w:pStyle w:val="Prrafodelista"/>
        <w:autoSpaceDE w:val="0"/>
        <w:autoSpaceDN w:val="0"/>
        <w:adjustRightInd w:val="0"/>
        <w:spacing w:line="0" w:lineRule="atLeast"/>
        <w:ind w:left="0"/>
        <w:jc w:val="both"/>
        <w:rPr>
          <w:rFonts w:ascii="Arial" w:hAnsi="Arial" w:cs="Arial"/>
          <w:spacing w:val="-2"/>
          <w:szCs w:val="24"/>
          <w:lang w:val="es-ES_tradnl" w:eastAsia="es-ES_tradnl"/>
        </w:rPr>
      </w:pPr>
    </w:p>
    <w:p w14:paraId="25CE5AAA" w14:textId="77777777" w:rsidR="00EA5E04" w:rsidRDefault="00EA5E04" w:rsidP="0017584A">
      <w:pPr>
        <w:pStyle w:val="Prrafodelista"/>
        <w:numPr>
          <w:ilvl w:val="0"/>
          <w:numId w:val="2"/>
        </w:numPr>
        <w:autoSpaceDE w:val="0"/>
        <w:autoSpaceDN w:val="0"/>
        <w:adjustRightInd w:val="0"/>
        <w:spacing w:line="0" w:lineRule="atLeast"/>
        <w:jc w:val="both"/>
        <w:rPr>
          <w:rFonts w:ascii="Arial" w:hAnsi="Arial" w:cs="Arial"/>
          <w:spacing w:val="-2"/>
          <w:szCs w:val="24"/>
          <w:lang w:val="es-ES_tradnl" w:eastAsia="es-ES_tradnl"/>
        </w:rPr>
      </w:pPr>
      <w:r>
        <w:rPr>
          <w:rFonts w:ascii="Arial" w:hAnsi="Arial" w:cs="Arial"/>
          <w:spacing w:val="-2"/>
          <w:szCs w:val="24"/>
          <w:lang w:val="es-ES_tradnl" w:eastAsia="es-ES_tradnl"/>
        </w:rPr>
        <w:t xml:space="preserve">Publíquese el presente Acuerdo en el Diario Oficial de la Federación. </w:t>
      </w:r>
    </w:p>
    <w:p w14:paraId="7878E599" w14:textId="77777777" w:rsidR="00EA5E04" w:rsidRPr="00EA5E04" w:rsidRDefault="00EA5E04" w:rsidP="00EA5E04">
      <w:pPr>
        <w:pStyle w:val="Prrafodelista"/>
        <w:rPr>
          <w:rFonts w:ascii="Arial" w:hAnsi="Arial" w:cs="Arial"/>
          <w:spacing w:val="-2"/>
          <w:szCs w:val="24"/>
        </w:rPr>
      </w:pPr>
    </w:p>
    <w:p w14:paraId="510D277A" w14:textId="33AB147E" w:rsidR="0017584A" w:rsidRPr="004B06B3" w:rsidRDefault="00192E96" w:rsidP="0017584A">
      <w:pPr>
        <w:pStyle w:val="Prrafodelista"/>
        <w:numPr>
          <w:ilvl w:val="0"/>
          <w:numId w:val="2"/>
        </w:numPr>
        <w:autoSpaceDE w:val="0"/>
        <w:autoSpaceDN w:val="0"/>
        <w:adjustRightInd w:val="0"/>
        <w:spacing w:line="0" w:lineRule="atLeast"/>
        <w:jc w:val="both"/>
        <w:rPr>
          <w:rStyle w:val="FontStyle13"/>
          <w:spacing w:val="-2"/>
          <w:sz w:val="24"/>
          <w:szCs w:val="24"/>
          <w:lang w:val="es-ES_tradnl" w:eastAsia="es-ES_tradnl"/>
        </w:rPr>
      </w:pPr>
      <w:r>
        <w:rPr>
          <w:rFonts w:ascii="Arial" w:hAnsi="Arial" w:cs="Arial"/>
          <w:spacing w:val="-2"/>
          <w:szCs w:val="24"/>
        </w:rPr>
        <w:t>Hágase del conocimiento que e</w:t>
      </w:r>
      <w:r w:rsidR="0017584A">
        <w:rPr>
          <w:rFonts w:ascii="Arial" w:hAnsi="Arial" w:cs="Arial"/>
          <w:spacing w:val="-2"/>
          <w:szCs w:val="24"/>
        </w:rPr>
        <w:t>l presente Acuerdo sólo podrá impugnarse a través del juicio de amparo indirecto, conforme a lo dispuesto por el artículo 27 de la Ley de los Órganos Reguladores Coordinados en Materia Energética</w:t>
      </w:r>
      <w:r>
        <w:rPr>
          <w:rFonts w:ascii="Arial" w:hAnsi="Arial" w:cs="Arial"/>
          <w:spacing w:val="-2"/>
          <w:szCs w:val="24"/>
        </w:rPr>
        <w:t xml:space="preserve">, y que </w:t>
      </w:r>
      <w:r w:rsidRPr="004B06B3">
        <w:rPr>
          <w:rFonts w:ascii="Arial" w:hAnsi="Arial" w:cs="Arial"/>
          <w:spacing w:val="-2"/>
          <w:szCs w:val="24"/>
        </w:rPr>
        <w:t>el expediente respectivo se encuentra y puede ser consultado en las oficinas de la Comisión, ubicadas en boulevard Adolfo López Mateos 172, colonia Merced Gómez, Benito Juárez, C. P. 03930, Ciudad de México</w:t>
      </w:r>
      <w:r w:rsidR="0017584A">
        <w:rPr>
          <w:rFonts w:ascii="Arial" w:hAnsi="Arial" w:cs="Arial"/>
          <w:spacing w:val="-2"/>
          <w:szCs w:val="24"/>
        </w:rPr>
        <w:t>.</w:t>
      </w:r>
    </w:p>
    <w:p w14:paraId="00B047C5" w14:textId="77777777" w:rsidR="0017584A" w:rsidRPr="00D40937" w:rsidRDefault="0017584A" w:rsidP="0017584A">
      <w:pPr>
        <w:pStyle w:val="Style2"/>
        <w:widowControl/>
        <w:shd w:val="clear" w:color="auto" w:fill="FFFFFF"/>
        <w:spacing w:line="0" w:lineRule="atLeast"/>
        <w:mirrorIndents/>
        <w:jc w:val="both"/>
        <w:rPr>
          <w:rFonts w:cs="Arial"/>
          <w:spacing w:val="-2"/>
          <w:highlight w:val="yellow"/>
        </w:rPr>
      </w:pPr>
    </w:p>
    <w:p w14:paraId="05BDF8E2" w14:textId="1F8C72E4" w:rsidR="0017584A" w:rsidRPr="004B06B3" w:rsidRDefault="0017584A" w:rsidP="0017584A">
      <w:pPr>
        <w:pStyle w:val="Prrafodelista"/>
        <w:numPr>
          <w:ilvl w:val="0"/>
          <w:numId w:val="2"/>
        </w:numPr>
        <w:autoSpaceDE w:val="0"/>
        <w:autoSpaceDN w:val="0"/>
        <w:adjustRightInd w:val="0"/>
        <w:spacing w:line="0" w:lineRule="atLeast"/>
        <w:mirrorIndents/>
        <w:jc w:val="both"/>
        <w:rPr>
          <w:rFonts w:cs="Arial"/>
          <w:spacing w:val="-2"/>
          <w:lang w:val="es-ES_tradnl" w:eastAsia="es-ES_tradnl"/>
        </w:rPr>
      </w:pPr>
      <w:r w:rsidRPr="004B06B3">
        <w:rPr>
          <w:rFonts w:ascii="Arial" w:hAnsi="Arial" w:cs="Arial"/>
          <w:spacing w:val="-2"/>
          <w:szCs w:val="24"/>
        </w:rPr>
        <w:t xml:space="preserve">Inscríbase </w:t>
      </w:r>
      <w:r>
        <w:rPr>
          <w:rFonts w:ascii="Arial" w:hAnsi="Arial" w:cs="Arial"/>
          <w:spacing w:val="-2"/>
          <w:szCs w:val="24"/>
        </w:rPr>
        <w:t>el presente Acuerdo</w:t>
      </w:r>
      <w:r w:rsidRPr="004B06B3">
        <w:rPr>
          <w:rFonts w:ascii="Arial" w:hAnsi="Arial" w:cs="Arial"/>
          <w:spacing w:val="-2"/>
          <w:szCs w:val="24"/>
        </w:rPr>
        <w:t xml:space="preserve"> bajo el número </w:t>
      </w:r>
      <w:r>
        <w:rPr>
          <w:rFonts w:ascii="Arial" w:hAnsi="Arial" w:cs="Arial"/>
          <w:spacing w:val="-2"/>
          <w:szCs w:val="24"/>
        </w:rPr>
        <w:t>A</w:t>
      </w:r>
      <w:r w:rsidRPr="004B06B3">
        <w:rPr>
          <w:rFonts w:ascii="Arial" w:hAnsi="Arial" w:cs="Arial"/>
          <w:spacing w:val="-2"/>
          <w:szCs w:val="24"/>
        </w:rPr>
        <w:t xml:space="preserve">/XXX/2017 en el registro a que se refieren los artículos 22, fracción XXVI, y 25, fracción X, de la Ley de los Órganos Reguladores Coordinados en Materia Energética </w:t>
      </w:r>
      <w:r w:rsidRPr="004B06B3">
        <w:rPr>
          <w:rFonts w:ascii="Arial" w:hAnsi="Arial" w:cs="Arial"/>
          <w:lang w:val="es-ES_tradnl"/>
        </w:rPr>
        <w:t xml:space="preserve">y </w:t>
      </w:r>
      <w:r w:rsidR="00183995">
        <w:rPr>
          <w:rFonts w:ascii="Arial" w:hAnsi="Arial" w:cs="Arial"/>
          <w:lang w:val="es-ES_tradnl"/>
        </w:rPr>
        <w:t>4 y 16, último párrafo</w:t>
      </w:r>
      <w:r w:rsidRPr="004B06B3">
        <w:rPr>
          <w:rFonts w:ascii="Arial" w:hAnsi="Arial" w:cs="Arial"/>
          <w:lang w:val="es-ES_tradnl"/>
        </w:rPr>
        <w:t xml:space="preserve"> del Reglamento Interno de la Comisión Reguladora de Energía.</w:t>
      </w:r>
    </w:p>
    <w:p w14:paraId="64019EF0" w14:textId="77777777" w:rsidR="0017584A" w:rsidRDefault="0017584A" w:rsidP="0017584A">
      <w:pPr>
        <w:pStyle w:val="Style2"/>
        <w:widowControl/>
        <w:spacing w:line="0" w:lineRule="atLeast"/>
        <w:mirrorIndents/>
        <w:rPr>
          <w:rFonts w:cs="Arial"/>
          <w:spacing w:val="-2"/>
        </w:rPr>
      </w:pPr>
    </w:p>
    <w:p w14:paraId="2D3B424D" w14:textId="77777777" w:rsidR="00B07AAE" w:rsidRPr="00D40937" w:rsidRDefault="00B07AAE" w:rsidP="004743E1">
      <w:pPr>
        <w:widowControl/>
        <w:spacing w:line="0" w:lineRule="atLeast"/>
        <w:mirrorIndents/>
        <w:jc w:val="both"/>
        <w:rPr>
          <w:rFonts w:cs="Arial"/>
          <w:spacing w:val="-2"/>
          <w:highlight w:val="yellow"/>
          <w:lang w:val="es-ES_tradnl" w:eastAsia="es-ES_tradnl"/>
        </w:rPr>
      </w:pPr>
    </w:p>
    <w:p w14:paraId="556B47C8" w14:textId="66329C4D" w:rsidR="00D5693A" w:rsidRPr="00AB0284" w:rsidRDefault="00135829" w:rsidP="004743E1">
      <w:pPr>
        <w:keepNext/>
        <w:autoSpaceDE/>
        <w:autoSpaceDN/>
        <w:adjustRightInd/>
        <w:spacing w:line="0" w:lineRule="atLeast"/>
        <w:jc w:val="right"/>
        <w:outlineLvl w:val="1"/>
        <w:rPr>
          <w:rFonts w:eastAsia="Arial Unicode MS" w:cs="Arial"/>
          <w:spacing w:val="-2"/>
          <w:lang w:val="es-ES_tradnl"/>
        </w:rPr>
      </w:pPr>
      <w:r w:rsidRPr="00AB0284">
        <w:rPr>
          <w:rFonts w:eastAsia="Arial Unicode MS" w:cs="Arial"/>
          <w:spacing w:val="-2"/>
          <w:lang w:val="es-ES_tradnl"/>
        </w:rPr>
        <w:t xml:space="preserve">Ciudad de </w:t>
      </w:r>
      <w:r w:rsidR="00D5693A" w:rsidRPr="00AB0284">
        <w:rPr>
          <w:rFonts w:eastAsia="Arial Unicode MS" w:cs="Arial"/>
          <w:spacing w:val="-2"/>
          <w:lang w:val="es-ES_tradnl"/>
        </w:rPr>
        <w:t xml:space="preserve">México, a </w:t>
      </w:r>
      <w:r w:rsidR="00AC7C2A" w:rsidRPr="00AB0284">
        <w:rPr>
          <w:rFonts w:eastAsia="Arial Unicode MS" w:cs="Arial"/>
          <w:spacing w:val="-2"/>
          <w:lang w:val="es-ES_tradnl"/>
        </w:rPr>
        <w:t>XX</w:t>
      </w:r>
      <w:r w:rsidR="00D5693A" w:rsidRPr="00AB0284">
        <w:rPr>
          <w:rFonts w:eastAsia="Arial Unicode MS" w:cs="Arial"/>
          <w:spacing w:val="-2"/>
          <w:lang w:val="es-ES_tradnl"/>
        </w:rPr>
        <w:t xml:space="preserve"> de </w:t>
      </w:r>
      <w:r w:rsidR="00F90315">
        <w:rPr>
          <w:rFonts w:eastAsia="Arial Unicode MS" w:cs="Arial"/>
          <w:spacing w:val="-2"/>
          <w:lang w:val="es-ES_tradnl"/>
        </w:rPr>
        <w:t>julio</w:t>
      </w:r>
      <w:r w:rsidR="00183995" w:rsidRPr="00AB0284">
        <w:rPr>
          <w:rFonts w:eastAsia="Arial Unicode MS" w:cs="Arial"/>
          <w:spacing w:val="-2"/>
          <w:lang w:val="es-ES_tradnl"/>
        </w:rPr>
        <w:t xml:space="preserve"> </w:t>
      </w:r>
      <w:r w:rsidR="00D5693A" w:rsidRPr="00AB0284">
        <w:rPr>
          <w:rFonts w:eastAsia="Arial Unicode MS" w:cs="Arial"/>
          <w:spacing w:val="-2"/>
          <w:lang w:val="es-ES_tradnl"/>
        </w:rPr>
        <w:t>de 201</w:t>
      </w:r>
      <w:r w:rsidR="00AB0284">
        <w:rPr>
          <w:rFonts w:eastAsia="Arial Unicode MS" w:cs="Arial"/>
          <w:spacing w:val="-2"/>
          <w:lang w:val="es-ES_tradnl"/>
        </w:rPr>
        <w:t>7</w:t>
      </w:r>
      <w:r w:rsidR="00D5693A" w:rsidRPr="00AB0284">
        <w:rPr>
          <w:rFonts w:eastAsia="Arial Unicode MS" w:cs="Arial"/>
          <w:spacing w:val="-2"/>
          <w:lang w:val="es-ES_tradnl"/>
        </w:rPr>
        <w:t>.</w:t>
      </w:r>
    </w:p>
    <w:p w14:paraId="0FADAC42" w14:textId="77777777" w:rsidR="00D5693A" w:rsidRPr="00AB0284" w:rsidRDefault="00D5693A" w:rsidP="004743E1">
      <w:pPr>
        <w:spacing w:line="0" w:lineRule="atLeast"/>
        <w:rPr>
          <w:rFonts w:cs="Arial"/>
          <w:spacing w:val="-2"/>
        </w:rPr>
      </w:pPr>
    </w:p>
    <w:p w14:paraId="14B62956" w14:textId="77777777" w:rsidR="00AB5008" w:rsidRPr="00AB0284" w:rsidRDefault="00AB5008" w:rsidP="004743E1">
      <w:pPr>
        <w:spacing w:line="0" w:lineRule="atLeast"/>
        <w:rPr>
          <w:rFonts w:cs="Arial"/>
          <w:spacing w:val="-2"/>
        </w:rPr>
      </w:pPr>
    </w:p>
    <w:p w14:paraId="2B5C750D" w14:textId="77777777" w:rsidR="00AB5008" w:rsidRPr="00AB0284" w:rsidRDefault="00AB5008" w:rsidP="004743E1">
      <w:pPr>
        <w:spacing w:line="0" w:lineRule="atLeast"/>
        <w:rPr>
          <w:rFonts w:cs="Arial"/>
          <w:spacing w:val="-2"/>
        </w:rPr>
      </w:pPr>
    </w:p>
    <w:p w14:paraId="15033F07" w14:textId="77777777" w:rsidR="00D5693A" w:rsidRPr="00AB0284" w:rsidRDefault="00D5693A" w:rsidP="004743E1">
      <w:pPr>
        <w:spacing w:line="0" w:lineRule="atLeast"/>
        <w:rPr>
          <w:rFonts w:cs="Arial"/>
          <w:spacing w:val="-2"/>
        </w:rPr>
      </w:pPr>
    </w:p>
    <w:p w14:paraId="3895B813" w14:textId="77777777" w:rsidR="007B4C02" w:rsidRPr="00AB0284" w:rsidRDefault="007B4C02" w:rsidP="004743E1">
      <w:pPr>
        <w:spacing w:line="0" w:lineRule="atLeast"/>
        <w:rPr>
          <w:rFonts w:cs="Arial"/>
          <w:spacing w:val="-2"/>
        </w:rPr>
      </w:pPr>
    </w:p>
    <w:p w14:paraId="62C38425" w14:textId="77777777" w:rsidR="00FA7510" w:rsidRPr="00AB0284" w:rsidRDefault="00FA7510" w:rsidP="004743E1">
      <w:pPr>
        <w:spacing w:line="0" w:lineRule="atLeast"/>
        <w:rPr>
          <w:rFonts w:cs="Arial"/>
          <w:spacing w:val="-2"/>
        </w:rPr>
      </w:pPr>
    </w:p>
    <w:p w14:paraId="01B17815" w14:textId="77777777" w:rsidR="00D5693A" w:rsidRPr="00AB0284" w:rsidRDefault="00FA7510" w:rsidP="004743E1">
      <w:pPr>
        <w:spacing w:line="0" w:lineRule="atLeast"/>
        <w:jc w:val="center"/>
        <w:rPr>
          <w:rFonts w:cs="Arial"/>
          <w:spacing w:val="-2"/>
        </w:rPr>
      </w:pPr>
      <w:r w:rsidRPr="00AB0284">
        <w:rPr>
          <w:rFonts w:cs="Arial"/>
          <w:spacing w:val="-2"/>
        </w:rPr>
        <w:t xml:space="preserve">Guillermo </w:t>
      </w:r>
      <w:r w:rsidR="0001368D" w:rsidRPr="00AB0284">
        <w:rPr>
          <w:rFonts w:cs="Arial"/>
          <w:spacing w:val="-2"/>
        </w:rPr>
        <w:t xml:space="preserve">Ignacio </w:t>
      </w:r>
      <w:r w:rsidRPr="00AB0284">
        <w:rPr>
          <w:rFonts w:cs="Arial"/>
          <w:spacing w:val="-2"/>
        </w:rPr>
        <w:t>García Alcocer</w:t>
      </w:r>
    </w:p>
    <w:p w14:paraId="10585BAE" w14:textId="77777777" w:rsidR="00FA7510" w:rsidRPr="00AB0284" w:rsidRDefault="00AB5008" w:rsidP="004743E1">
      <w:pPr>
        <w:spacing w:line="0" w:lineRule="atLeast"/>
        <w:jc w:val="center"/>
        <w:rPr>
          <w:rFonts w:cs="Arial"/>
          <w:spacing w:val="-2"/>
        </w:rPr>
      </w:pPr>
      <w:r w:rsidRPr="00AB0284">
        <w:rPr>
          <w:rFonts w:cs="Arial"/>
          <w:spacing w:val="-2"/>
        </w:rPr>
        <w:t xml:space="preserve">Comisionado </w:t>
      </w:r>
      <w:r w:rsidR="00FA7510" w:rsidRPr="00AB0284">
        <w:rPr>
          <w:rFonts w:cs="Arial"/>
          <w:spacing w:val="-2"/>
        </w:rPr>
        <w:t>Presidente</w:t>
      </w:r>
    </w:p>
    <w:p w14:paraId="28C1CF79" w14:textId="77777777" w:rsidR="00FA7510" w:rsidRPr="00AB0284" w:rsidRDefault="00FA7510" w:rsidP="004743E1">
      <w:pPr>
        <w:spacing w:line="0" w:lineRule="atLeast"/>
        <w:rPr>
          <w:rFonts w:cs="Arial"/>
          <w:spacing w:val="-2"/>
        </w:rPr>
      </w:pPr>
    </w:p>
    <w:p w14:paraId="2E411459" w14:textId="77777777" w:rsidR="00AB5008" w:rsidRPr="00AB0284" w:rsidRDefault="00AB5008" w:rsidP="004743E1">
      <w:pPr>
        <w:spacing w:line="0" w:lineRule="atLeast"/>
        <w:rPr>
          <w:rFonts w:cs="Arial"/>
          <w:spacing w:val="-2"/>
        </w:rPr>
      </w:pPr>
    </w:p>
    <w:p w14:paraId="11B66770" w14:textId="77777777" w:rsidR="00AB5008" w:rsidRPr="00AB0284" w:rsidRDefault="00AB5008" w:rsidP="004743E1">
      <w:pPr>
        <w:spacing w:line="0" w:lineRule="atLeast"/>
        <w:rPr>
          <w:rFonts w:cs="Arial"/>
          <w:spacing w:val="-2"/>
        </w:rPr>
      </w:pPr>
    </w:p>
    <w:p w14:paraId="1DAAE3A5" w14:textId="77777777" w:rsidR="00FA7510" w:rsidRPr="00AB0284" w:rsidRDefault="00FA7510" w:rsidP="004743E1">
      <w:pPr>
        <w:spacing w:line="0" w:lineRule="atLeast"/>
        <w:rPr>
          <w:rFonts w:cs="Arial"/>
          <w:spacing w:val="-2"/>
        </w:rPr>
      </w:pPr>
    </w:p>
    <w:p w14:paraId="3FEBEE02" w14:textId="77777777" w:rsidR="00FA7510" w:rsidRPr="00AB0284" w:rsidRDefault="00FA7510" w:rsidP="004743E1">
      <w:pPr>
        <w:spacing w:line="0" w:lineRule="atLeast"/>
        <w:rPr>
          <w:rFonts w:cs="Arial"/>
          <w:spacing w:val="-2"/>
        </w:rPr>
      </w:pPr>
    </w:p>
    <w:p w14:paraId="59169DFD" w14:textId="77777777" w:rsidR="00FA7510" w:rsidRPr="00AB0284" w:rsidRDefault="00FA7510" w:rsidP="004743E1">
      <w:pPr>
        <w:spacing w:line="0" w:lineRule="atLeast"/>
        <w:rPr>
          <w:rFonts w:cs="Arial"/>
          <w:spacing w:val="-2"/>
        </w:rPr>
      </w:pPr>
    </w:p>
    <w:p w14:paraId="53B7D5E4" w14:textId="77777777" w:rsidR="00D5693A" w:rsidRPr="00AB0284" w:rsidRDefault="00D5693A" w:rsidP="004743E1">
      <w:pPr>
        <w:tabs>
          <w:tab w:val="center" w:pos="1985"/>
          <w:tab w:val="center" w:pos="6663"/>
        </w:tabs>
        <w:spacing w:line="0" w:lineRule="atLeast"/>
        <w:rPr>
          <w:rFonts w:cs="Arial"/>
          <w:spacing w:val="-2"/>
        </w:rPr>
      </w:pPr>
      <w:r w:rsidRPr="00AB0284">
        <w:rPr>
          <w:rFonts w:cs="Arial"/>
          <w:spacing w:val="-2"/>
        </w:rPr>
        <w:tab/>
        <w:t>Marcelino Madrigal Martínez</w:t>
      </w:r>
      <w:r w:rsidRPr="00AB0284">
        <w:rPr>
          <w:rFonts w:cs="Arial"/>
          <w:spacing w:val="-2"/>
        </w:rPr>
        <w:tab/>
      </w:r>
      <w:r w:rsidR="00745E50" w:rsidRPr="00AB0284">
        <w:rPr>
          <w:rFonts w:cs="Arial"/>
          <w:spacing w:val="-2"/>
        </w:rPr>
        <w:t>Luis Guillermo Pineda Bernal</w:t>
      </w:r>
    </w:p>
    <w:p w14:paraId="4E9563A5" w14:textId="77777777" w:rsidR="00D5693A" w:rsidRPr="00AB0284" w:rsidRDefault="00D5693A" w:rsidP="004743E1">
      <w:pPr>
        <w:tabs>
          <w:tab w:val="center" w:pos="1985"/>
          <w:tab w:val="center" w:pos="6663"/>
        </w:tabs>
        <w:spacing w:line="0" w:lineRule="atLeast"/>
        <w:rPr>
          <w:rFonts w:cs="Arial"/>
          <w:spacing w:val="-2"/>
        </w:rPr>
      </w:pPr>
      <w:r w:rsidRPr="00AB0284">
        <w:rPr>
          <w:rFonts w:cs="Arial"/>
          <w:spacing w:val="-2"/>
        </w:rPr>
        <w:tab/>
        <w:t>Comisionado</w:t>
      </w:r>
      <w:r w:rsidRPr="00AB0284">
        <w:rPr>
          <w:rFonts w:cs="Arial"/>
          <w:spacing w:val="-2"/>
        </w:rPr>
        <w:tab/>
      </w:r>
      <w:proofErr w:type="spellStart"/>
      <w:r w:rsidRPr="00AB0284">
        <w:rPr>
          <w:rFonts w:cs="Arial"/>
          <w:spacing w:val="-2"/>
        </w:rPr>
        <w:t>Comisionado</w:t>
      </w:r>
      <w:proofErr w:type="spellEnd"/>
    </w:p>
    <w:p w14:paraId="541C8649" w14:textId="77777777" w:rsidR="00D5693A" w:rsidRPr="00AB0284" w:rsidRDefault="00D5693A" w:rsidP="004743E1">
      <w:pPr>
        <w:spacing w:line="0" w:lineRule="atLeast"/>
        <w:rPr>
          <w:rFonts w:cs="Arial"/>
          <w:spacing w:val="-2"/>
        </w:rPr>
      </w:pPr>
    </w:p>
    <w:p w14:paraId="65587416" w14:textId="77777777" w:rsidR="00AB5008" w:rsidRPr="00AB0284" w:rsidRDefault="00AB5008" w:rsidP="004743E1">
      <w:pPr>
        <w:spacing w:line="0" w:lineRule="atLeast"/>
        <w:rPr>
          <w:rFonts w:cs="Arial"/>
          <w:spacing w:val="-2"/>
        </w:rPr>
      </w:pPr>
    </w:p>
    <w:p w14:paraId="0D6A5A78" w14:textId="77777777" w:rsidR="00AB5008" w:rsidRPr="00AB0284" w:rsidRDefault="00AB5008" w:rsidP="004743E1">
      <w:pPr>
        <w:spacing w:line="0" w:lineRule="atLeast"/>
        <w:rPr>
          <w:rFonts w:cs="Arial"/>
          <w:spacing w:val="-2"/>
        </w:rPr>
      </w:pPr>
    </w:p>
    <w:p w14:paraId="441D6557" w14:textId="77777777" w:rsidR="00D5693A" w:rsidRPr="00AB0284" w:rsidRDefault="00D5693A" w:rsidP="004743E1">
      <w:pPr>
        <w:spacing w:line="0" w:lineRule="atLeast"/>
        <w:rPr>
          <w:rFonts w:cs="Arial"/>
          <w:spacing w:val="-2"/>
        </w:rPr>
      </w:pPr>
    </w:p>
    <w:p w14:paraId="36C599D7" w14:textId="77777777" w:rsidR="007B4C02" w:rsidRPr="00AB0284" w:rsidRDefault="007B4C02" w:rsidP="004743E1">
      <w:pPr>
        <w:spacing w:line="0" w:lineRule="atLeast"/>
        <w:rPr>
          <w:rFonts w:cs="Arial"/>
          <w:spacing w:val="-2"/>
        </w:rPr>
      </w:pPr>
    </w:p>
    <w:p w14:paraId="55ABA1C6" w14:textId="77777777" w:rsidR="00D5693A" w:rsidRPr="00AB0284" w:rsidRDefault="00D5693A" w:rsidP="004743E1">
      <w:pPr>
        <w:spacing w:line="0" w:lineRule="atLeast"/>
        <w:rPr>
          <w:rFonts w:cs="Arial"/>
          <w:spacing w:val="-2"/>
        </w:rPr>
      </w:pPr>
    </w:p>
    <w:p w14:paraId="346A0C83" w14:textId="77777777" w:rsidR="00D5693A" w:rsidRPr="00AB0284" w:rsidRDefault="00D5693A" w:rsidP="004743E1">
      <w:pPr>
        <w:tabs>
          <w:tab w:val="center" w:pos="1985"/>
          <w:tab w:val="center" w:pos="6663"/>
        </w:tabs>
        <w:spacing w:line="0" w:lineRule="atLeast"/>
        <w:rPr>
          <w:rFonts w:cs="Arial"/>
          <w:spacing w:val="-2"/>
        </w:rPr>
      </w:pPr>
      <w:r w:rsidRPr="00AB0284">
        <w:rPr>
          <w:rFonts w:cs="Arial"/>
          <w:spacing w:val="-2"/>
        </w:rPr>
        <w:tab/>
      </w:r>
      <w:r w:rsidR="00745E50" w:rsidRPr="00AB0284">
        <w:rPr>
          <w:rFonts w:cs="Arial"/>
          <w:spacing w:val="-2"/>
        </w:rPr>
        <w:t xml:space="preserve">Cecilia Montserrat Ramiro </w:t>
      </w:r>
      <w:proofErr w:type="spellStart"/>
      <w:r w:rsidR="00745E50" w:rsidRPr="00AB0284">
        <w:rPr>
          <w:rFonts w:cs="Arial"/>
          <w:spacing w:val="-2"/>
        </w:rPr>
        <w:t>Ximénez</w:t>
      </w:r>
      <w:proofErr w:type="spellEnd"/>
      <w:r w:rsidR="008878CF" w:rsidRPr="00AB0284">
        <w:rPr>
          <w:rFonts w:cs="Arial"/>
          <w:spacing w:val="-2"/>
        </w:rPr>
        <w:tab/>
      </w:r>
      <w:r w:rsidR="00745E50" w:rsidRPr="00AB0284">
        <w:rPr>
          <w:rFonts w:cs="Arial"/>
          <w:spacing w:val="-2"/>
        </w:rPr>
        <w:t>Jesús Serrano Landeros</w:t>
      </w:r>
    </w:p>
    <w:p w14:paraId="636EC06D" w14:textId="77777777" w:rsidR="00D5693A" w:rsidRPr="00AB0284" w:rsidRDefault="00D5693A" w:rsidP="004743E1">
      <w:pPr>
        <w:tabs>
          <w:tab w:val="center" w:pos="1985"/>
          <w:tab w:val="center" w:pos="6663"/>
        </w:tabs>
        <w:spacing w:line="0" w:lineRule="atLeast"/>
        <w:rPr>
          <w:rFonts w:cs="Arial"/>
          <w:spacing w:val="-2"/>
        </w:rPr>
      </w:pPr>
      <w:r w:rsidRPr="00AB0284">
        <w:rPr>
          <w:rFonts w:cs="Arial"/>
          <w:spacing w:val="-2"/>
        </w:rPr>
        <w:tab/>
        <w:t>Comisionad</w:t>
      </w:r>
      <w:r w:rsidR="00745E50" w:rsidRPr="00AB0284">
        <w:rPr>
          <w:rFonts w:cs="Arial"/>
          <w:spacing w:val="-2"/>
        </w:rPr>
        <w:t>a</w:t>
      </w:r>
      <w:r w:rsidRPr="00AB0284">
        <w:rPr>
          <w:rFonts w:cs="Arial"/>
          <w:spacing w:val="-2"/>
        </w:rPr>
        <w:tab/>
        <w:t>Comisionad</w:t>
      </w:r>
      <w:r w:rsidR="00745E50" w:rsidRPr="00AB0284">
        <w:rPr>
          <w:rFonts w:cs="Arial"/>
          <w:spacing w:val="-2"/>
        </w:rPr>
        <w:t>o</w:t>
      </w:r>
    </w:p>
    <w:p w14:paraId="2AD8F056" w14:textId="77777777" w:rsidR="00D5693A" w:rsidRPr="00AB0284" w:rsidRDefault="00D5693A" w:rsidP="004743E1">
      <w:pPr>
        <w:spacing w:line="0" w:lineRule="atLeast"/>
        <w:rPr>
          <w:rFonts w:cs="Arial"/>
          <w:spacing w:val="-2"/>
        </w:rPr>
      </w:pPr>
    </w:p>
    <w:p w14:paraId="5F88EBCE" w14:textId="77777777" w:rsidR="00AB5008" w:rsidRPr="00AB0284" w:rsidRDefault="00AB5008" w:rsidP="004743E1">
      <w:pPr>
        <w:spacing w:line="0" w:lineRule="atLeast"/>
        <w:rPr>
          <w:rFonts w:cs="Arial"/>
          <w:spacing w:val="-2"/>
        </w:rPr>
      </w:pPr>
    </w:p>
    <w:p w14:paraId="22CB3280" w14:textId="77777777" w:rsidR="00AB5008" w:rsidRPr="00AB0284" w:rsidRDefault="00AB5008" w:rsidP="004743E1">
      <w:pPr>
        <w:spacing w:line="0" w:lineRule="atLeast"/>
        <w:rPr>
          <w:rFonts w:cs="Arial"/>
          <w:spacing w:val="-2"/>
        </w:rPr>
      </w:pPr>
    </w:p>
    <w:p w14:paraId="685D2B38" w14:textId="77777777" w:rsidR="00B07AAE" w:rsidRPr="00AB0284" w:rsidRDefault="00B07AAE" w:rsidP="004743E1">
      <w:pPr>
        <w:spacing w:line="0" w:lineRule="atLeast"/>
        <w:rPr>
          <w:rFonts w:cs="Arial"/>
          <w:spacing w:val="-2"/>
        </w:rPr>
      </w:pPr>
    </w:p>
    <w:p w14:paraId="594FF190" w14:textId="77777777" w:rsidR="00B07AAE" w:rsidRPr="00AB0284" w:rsidRDefault="00B07AAE" w:rsidP="004743E1">
      <w:pPr>
        <w:spacing w:line="0" w:lineRule="atLeast"/>
        <w:rPr>
          <w:rFonts w:cs="Arial"/>
          <w:spacing w:val="-2"/>
        </w:rPr>
      </w:pPr>
    </w:p>
    <w:p w14:paraId="6AF30291" w14:textId="77777777" w:rsidR="007B4C02" w:rsidRPr="00AB0284" w:rsidRDefault="007B4C02" w:rsidP="004743E1">
      <w:pPr>
        <w:spacing w:line="0" w:lineRule="atLeast"/>
        <w:rPr>
          <w:rFonts w:cs="Arial"/>
          <w:spacing w:val="-2"/>
        </w:rPr>
      </w:pPr>
    </w:p>
    <w:p w14:paraId="07B66C0A" w14:textId="1EC817A4" w:rsidR="00D5693A" w:rsidRDefault="00D5693A" w:rsidP="00745E50">
      <w:pPr>
        <w:tabs>
          <w:tab w:val="center" w:pos="1985"/>
          <w:tab w:val="center" w:pos="4253"/>
          <w:tab w:val="center" w:pos="6663"/>
        </w:tabs>
        <w:spacing w:line="0" w:lineRule="atLeast"/>
        <w:jc w:val="center"/>
        <w:rPr>
          <w:rFonts w:cs="Arial"/>
          <w:spacing w:val="-2"/>
        </w:rPr>
      </w:pPr>
      <w:r w:rsidRPr="00AB0284">
        <w:rPr>
          <w:rFonts w:cs="Arial"/>
          <w:spacing w:val="-2"/>
        </w:rPr>
        <w:t>Guillermo Zúñiga Martínez</w:t>
      </w:r>
      <w:r w:rsidR="00745E50" w:rsidRPr="00AB0284">
        <w:rPr>
          <w:rFonts w:cs="Arial"/>
          <w:spacing w:val="-2"/>
        </w:rPr>
        <w:br/>
      </w:r>
      <w:r w:rsidRPr="00AB0284">
        <w:rPr>
          <w:rFonts w:cs="Arial"/>
          <w:spacing w:val="-2"/>
        </w:rPr>
        <w:t>Comisionado</w:t>
      </w:r>
    </w:p>
    <w:p w14:paraId="7D3FC15F" w14:textId="1B2B4AA2" w:rsidR="00856D83" w:rsidRDefault="00856D83" w:rsidP="00745E50">
      <w:pPr>
        <w:tabs>
          <w:tab w:val="center" w:pos="1985"/>
          <w:tab w:val="center" w:pos="4253"/>
          <w:tab w:val="center" w:pos="6663"/>
        </w:tabs>
        <w:spacing w:line="0" w:lineRule="atLeast"/>
        <w:jc w:val="center"/>
        <w:rPr>
          <w:rFonts w:cs="Arial"/>
          <w:spacing w:val="-2"/>
        </w:rPr>
      </w:pPr>
    </w:p>
    <w:p w14:paraId="66DAE65E" w14:textId="7F1165B3" w:rsidR="00856D83" w:rsidRDefault="00856D83" w:rsidP="00745E50">
      <w:pPr>
        <w:tabs>
          <w:tab w:val="center" w:pos="1985"/>
          <w:tab w:val="center" w:pos="4253"/>
          <w:tab w:val="center" w:pos="6663"/>
        </w:tabs>
        <w:spacing w:line="0" w:lineRule="atLeast"/>
        <w:jc w:val="center"/>
        <w:rPr>
          <w:rFonts w:cs="Arial"/>
          <w:spacing w:val="-2"/>
        </w:rPr>
      </w:pPr>
    </w:p>
    <w:sectPr w:rsidR="00856D83" w:rsidSect="00462FF0">
      <w:footerReference w:type="default" r:id="rId8"/>
      <w:headerReference w:type="first" r:id="rId9"/>
      <w:type w:val="continuous"/>
      <w:pgSz w:w="12240" w:h="15840" w:code="1"/>
      <w:pgMar w:top="3289" w:right="1701" w:bottom="1985" w:left="1985"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A0BB" w14:textId="77777777" w:rsidR="00074F78" w:rsidRDefault="00074F78">
      <w:r>
        <w:separator/>
      </w:r>
    </w:p>
  </w:endnote>
  <w:endnote w:type="continuationSeparator" w:id="0">
    <w:p w14:paraId="6EDB512B" w14:textId="77777777" w:rsidR="00074F78" w:rsidRDefault="0007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9F5C" w14:textId="14792DD2" w:rsidR="00B600C1" w:rsidRPr="00462FF0" w:rsidRDefault="00B600C1">
    <w:pPr>
      <w:pStyle w:val="Piedepgina"/>
      <w:jc w:val="right"/>
      <w:rPr>
        <w:sz w:val="18"/>
        <w:szCs w:val="18"/>
      </w:rPr>
    </w:pPr>
    <w:r>
      <w:rPr>
        <w:sz w:val="18"/>
        <w:szCs w:val="18"/>
      </w:rPr>
      <w:t>A/XXX/2017</w:t>
    </w:r>
    <w:r>
      <w:rPr>
        <w:sz w:val="18"/>
        <w:szCs w:val="18"/>
      </w:rPr>
      <w:tab/>
    </w:r>
    <w:r>
      <w:rPr>
        <w:sz w:val="18"/>
        <w:szCs w:val="18"/>
      </w:rPr>
      <w:tab/>
    </w:r>
    <w:r w:rsidRPr="00462FF0">
      <w:rPr>
        <w:sz w:val="18"/>
        <w:szCs w:val="18"/>
      </w:rPr>
      <w:fldChar w:fldCharType="begin"/>
    </w:r>
    <w:r w:rsidRPr="00462FF0">
      <w:rPr>
        <w:sz w:val="18"/>
        <w:szCs w:val="18"/>
      </w:rPr>
      <w:instrText>PAGE   \* MERGEFORMAT</w:instrText>
    </w:r>
    <w:r w:rsidRPr="00462FF0">
      <w:rPr>
        <w:sz w:val="18"/>
        <w:szCs w:val="18"/>
      </w:rPr>
      <w:fldChar w:fldCharType="separate"/>
    </w:r>
    <w:r w:rsidR="00316CCD">
      <w:rPr>
        <w:noProof/>
        <w:sz w:val="18"/>
        <w:szCs w:val="18"/>
      </w:rPr>
      <w:t>6</w:t>
    </w:r>
    <w:r w:rsidRPr="00462F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6514" w14:textId="77777777" w:rsidR="00074F78" w:rsidRDefault="00074F78">
      <w:r>
        <w:separator/>
      </w:r>
    </w:p>
  </w:footnote>
  <w:footnote w:type="continuationSeparator" w:id="0">
    <w:p w14:paraId="1651AA5D" w14:textId="77777777" w:rsidR="00074F78" w:rsidRDefault="0007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F132" w14:textId="77777777" w:rsidR="00B600C1" w:rsidRDefault="00B600C1" w:rsidP="00462FF0">
    <w:pPr>
      <w:pStyle w:val="Encabezado"/>
      <w:rPr>
        <w:lang w:val="es-MX"/>
      </w:rPr>
    </w:pPr>
  </w:p>
  <w:p w14:paraId="57E2F9AF" w14:textId="77777777" w:rsidR="00B600C1" w:rsidRDefault="00B600C1" w:rsidP="00462FF0">
    <w:pPr>
      <w:pStyle w:val="Encabezado"/>
      <w:rPr>
        <w:lang w:val="es-MX"/>
      </w:rPr>
    </w:pPr>
  </w:p>
  <w:p w14:paraId="3991856B" w14:textId="77777777" w:rsidR="00B600C1" w:rsidRDefault="00B600C1" w:rsidP="00462FF0">
    <w:pPr>
      <w:pStyle w:val="Encabezado"/>
      <w:rPr>
        <w:lang w:val="es-MX"/>
      </w:rPr>
    </w:pPr>
  </w:p>
  <w:p w14:paraId="1EB8215B" w14:textId="77777777" w:rsidR="00B600C1" w:rsidRPr="00CE18BB" w:rsidRDefault="00B600C1" w:rsidP="00462FF0">
    <w:pPr>
      <w:pStyle w:val="Style1"/>
      <w:widowControl/>
      <w:spacing w:line="0" w:lineRule="atLeast"/>
      <w:mirrorIndents/>
      <w:jc w:val="right"/>
      <w:rPr>
        <w:rStyle w:val="FontStyle12"/>
        <w:sz w:val="24"/>
        <w:szCs w:val="24"/>
        <w:lang w:val="es-ES_tradnl" w:eastAsia="es-ES_tradnl"/>
      </w:rPr>
    </w:pPr>
    <w:r>
      <w:rPr>
        <w:rStyle w:val="FontStyle12"/>
        <w:sz w:val="24"/>
        <w:szCs w:val="24"/>
        <w:lang w:val="es-ES_tradnl" w:eastAsia="es-ES_tradnl"/>
      </w:rPr>
      <w:t>ACUERDO</w:t>
    </w:r>
    <w:r w:rsidRPr="00CE18BB">
      <w:rPr>
        <w:rStyle w:val="FontStyle12"/>
        <w:sz w:val="24"/>
        <w:szCs w:val="24"/>
        <w:lang w:val="es-ES_tradnl" w:eastAsia="es-ES_tradnl"/>
      </w:rPr>
      <w:t xml:space="preserve"> Núm. </w:t>
    </w:r>
    <w:r>
      <w:rPr>
        <w:rStyle w:val="FontStyle12"/>
        <w:sz w:val="24"/>
        <w:szCs w:val="24"/>
        <w:lang w:val="es-ES_tradnl" w:eastAsia="es-ES_tradnl"/>
      </w:rPr>
      <w:t>A</w:t>
    </w:r>
    <w:r w:rsidRPr="00CE18BB">
      <w:rPr>
        <w:rStyle w:val="FontStyle12"/>
        <w:sz w:val="24"/>
        <w:szCs w:val="24"/>
        <w:lang w:val="es-ES_tradnl" w:eastAsia="es-ES_tradnl"/>
      </w:rPr>
      <w:t>/</w:t>
    </w:r>
    <w:r>
      <w:rPr>
        <w:rStyle w:val="FontStyle12"/>
        <w:sz w:val="24"/>
        <w:szCs w:val="24"/>
        <w:lang w:val="es-ES_tradnl" w:eastAsia="es-ES_tradnl"/>
      </w:rPr>
      <w:t>XXX</w:t>
    </w:r>
    <w:r w:rsidRPr="00CE18BB">
      <w:rPr>
        <w:rStyle w:val="FontStyle12"/>
        <w:sz w:val="24"/>
        <w:szCs w:val="24"/>
        <w:lang w:val="es-ES_tradnl" w:eastAsia="es-ES_tradnl"/>
      </w:rPr>
      <w:t>/201</w:t>
    </w:r>
    <w:r>
      <w:rPr>
        <w:rStyle w:val="FontStyle12"/>
        <w:sz w:val="24"/>
        <w:szCs w:val="24"/>
        <w:lang w:val="es-ES_tradnl" w:eastAsia="es-ES_tradnl"/>
      </w:rPr>
      <w:t>7</w:t>
    </w:r>
  </w:p>
  <w:p w14:paraId="18E45E7A" w14:textId="77777777" w:rsidR="00B600C1" w:rsidRPr="00960AA7" w:rsidRDefault="00B600C1" w:rsidP="00462FF0">
    <w:pPr>
      <w:pStyle w:val="Encabezado"/>
      <w:jc w:val="right"/>
      <w:rPr>
        <w:lang w:val="es-MX"/>
      </w:rPr>
    </w:pPr>
  </w:p>
  <w:p w14:paraId="0C092D90" w14:textId="77777777" w:rsidR="00B600C1" w:rsidRDefault="00B60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67EA"/>
    <w:multiLevelType w:val="hybridMultilevel"/>
    <w:tmpl w:val="FCA25654"/>
    <w:lvl w:ilvl="0" w:tplc="649E95B4">
      <w:start w:val="1"/>
      <w:numFmt w:val="ordinalText"/>
      <w:lvlText w:val="%1."/>
      <w:lvlJc w:val="left"/>
      <w:pPr>
        <w:ind w:left="1353"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CA57C3F"/>
    <w:multiLevelType w:val="hybridMultilevel"/>
    <w:tmpl w:val="D11A76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1123720"/>
    <w:multiLevelType w:val="multilevel"/>
    <w:tmpl w:val="FD8EB9E0"/>
    <w:lvl w:ilvl="0">
      <w:start w:val="1"/>
      <w:numFmt w:val="ordinalText"/>
      <w:lvlText w:val="%1."/>
      <w:lvlJc w:val="left"/>
      <w:pPr>
        <w:ind w:left="0" w:firstLine="0"/>
      </w:pPr>
      <w:rPr>
        <w:rFonts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79D3E1F"/>
    <w:multiLevelType w:val="hybridMultilevel"/>
    <w:tmpl w:val="DA744B94"/>
    <w:lvl w:ilvl="0" w:tplc="6060E1B4">
      <w:start w:val="1"/>
      <w:numFmt w:val="ordinalText"/>
      <w:lvlText w:val="%1."/>
      <w:lvlJc w:val="left"/>
      <w:pPr>
        <w:ind w:left="4897" w:hanging="360"/>
      </w:pPr>
      <w:rPr>
        <w:rFonts w:hint="default"/>
        <w:b/>
        <w:i w:val="0"/>
        <w:cap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5D298E"/>
    <w:multiLevelType w:val="multilevel"/>
    <w:tmpl w:val="2E26DEEA"/>
    <w:lvl w:ilvl="0">
      <w:start w:val="1"/>
      <w:numFmt w:val="ordinalText"/>
      <w:lvlText w:val="%1."/>
      <w:lvlJc w:val="left"/>
      <w:pPr>
        <w:ind w:left="0" w:firstLine="0"/>
      </w:pPr>
      <w:rPr>
        <w:rFonts w:ascii="Arial" w:hAnsi="Arial" w:cs="Arial"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8DC5A74"/>
    <w:multiLevelType w:val="hybridMultilevel"/>
    <w:tmpl w:val="B966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9A"/>
    <w:rsid w:val="000007C4"/>
    <w:rsid w:val="0000290F"/>
    <w:rsid w:val="000029A2"/>
    <w:rsid w:val="00002DDF"/>
    <w:rsid w:val="00003ACE"/>
    <w:rsid w:val="00005E71"/>
    <w:rsid w:val="000066AF"/>
    <w:rsid w:val="00006F7B"/>
    <w:rsid w:val="00011D6B"/>
    <w:rsid w:val="0001368D"/>
    <w:rsid w:val="00016A9D"/>
    <w:rsid w:val="00017204"/>
    <w:rsid w:val="00017E95"/>
    <w:rsid w:val="00022258"/>
    <w:rsid w:val="00023760"/>
    <w:rsid w:val="0002743E"/>
    <w:rsid w:val="00032A5C"/>
    <w:rsid w:val="00034FDD"/>
    <w:rsid w:val="00036F56"/>
    <w:rsid w:val="00036FB3"/>
    <w:rsid w:val="00037482"/>
    <w:rsid w:val="000407CC"/>
    <w:rsid w:val="000472A9"/>
    <w:rsid w:val="00052C5E"/>
    <w:rsid w:val="00057641"/>
    <w:rsid w:val="00060118"/>
    <w:rsid w:val="000608A3"/>
    <w:rsid w:val="0006342D"/>
    <w:rsid w:val="000646D2"/>
    <w:rsid w:val="00065C55"/>
    <w:rsid w:val="0006617A"/>
    <w:rsid w:val="00066963"/>
    <w:rsid w:val="000679E6"/>
    <w:rsid w:val="00070AC6"/>
    <w:rsid w:val="00071FBA"/>
    <w:rsid w:val="00072E08"/>
    <w:rsid w:val="000733A2"/>
    <w:rsid w:val="000737EB"/>
    <w:rsid w:val="00074507"/>
    <w:rsid w:val="00074F78"/>
    <w:rsid w:val="000816CB"/>
    <w:rsid w:val="00082823"/>
    <w:rsid w:val="00084302"/>
    <w:rsid w:val="00084AB6"/>
    <w:rsid w:val="00087D32"/>
    <w:rsid w:val="00091435"/>
    <w:rsid w:val="00093412"/>
    <w:rsid w:val="00095BEC"/>
    <w:rsid w:val="00096925"/>
    <w:rsid w:val="00096BF2"/>
    <w:rsid w:val="00097127"/>
    <w:rsid w:val="00097ABB"/>
    <w:rsid w:val="000A143D"/>
    <w:rsid w:val="000B0981"/>
    <w:rsid w:val="000B1628"/>
    <w:rsid w:val="000B17E8"/>
    <w:rsid w:val="000B2C64"/>
    <w:rsid w:val="000B43B6"/>
    <w:rsid w:val="000B6972"/>
    <w:rsid w:val="000B7E1A"/>
    <w:rsid w:val="000C1207"/>
    <w:rsid w:val="000C2473"/>
    <w:rsid w:val="000C24B5"/>
    <w:rsid w:val="000C576E"/>
    <w:rsid w:val="000C6FA2"/>
    <w:rsid w:val="000C7971"/>
    <w:rsid w:val="000D13C5"/>
    <w:rsid w:val="000D2DF8"/>
    <w:rsid w:val="000D4101"/>
    <w:rsid w:val="000D4D76"/>
    <w:rsid w:val="000D65A3"/>
    <w:rsid w:val="000D66FC"/>
    <w:rsid w:val="000E0518"/>
    <w:rsid w:val="000E0DAC"/>
    <w:rsid w:val="000E0FC5"/>
    <w:rsid w:val="000E3EBC"/>
    <w:rsid w:val="000E423C"/>
    <w:rsid w:val="000E45EC"/>
    <w:rsid w:val="000E4FFB"/>
    <w:rsid w:val="000E5459"/>
    <w:rsid w:val="000E6FB1"/>
    <w:rsid w:val="000F032D"/>
    <w:rsid w:val="000F0514"/>
    <w:rsid w:val="000F176B"/>
    <w:rsid w:val="000F1CC4"/>
    <w:rsid w:val="000F3E1C"/>
    <w:rsid w:val="000F4D30"/>
    <w:rsid w:val="000F6358"/>
    <w:rsid w:val="000F678F"/>
    <w:rsid w:val="000F7193"/>
    <w:rsid w:val="0010083B"/>
    <w:rsid w:val="00101B54"/>
    <w:rsid w:val="00110313"/>
    <w:rsid w:val="00110FF3"/>
    <w:rsid w:val="00112E72"/>
    <w:rsid w:val="00114749"/>
    <w:rsid w:val="001165A6"/>
    <w:rsid w:val="00121D70"/>
    <w:rsid w:val="00121D95"/>
    <w:rsid w:val="001233D7"/>
    <w:rsid w:val="0012401C"/>
    <w:rsid w:val="0012655A"/>
    <w:rsid w:val="00126C8C"/>
    <w:rsid w:val="00131D66"/>
    <w:rsid w:val="001320AE"/>
    <w:rsid w:val="0013425B"/>
    <w:rsid w:val="00135829"/>
    <w:rsid w:val="00135FB8"/>
    <w:rsid w:val="00142CCD"/>
    <w:rsid w:val="00144B12"/>
    <w:rsid w:val="00147DD6"/>
    <w:rsid w:val="001520E8"/>
    <w:rsid w:val="001521A3"/>
    <w:rsid w:val="00155553"/>
    <w:rsid w:val="00157C27"/>
    <w:rsid w:val="0016246D"/>
    <w:rsid w:val="001653EA"/>
    <w:rsid w:val="001659C8"/>
    <w:rsid w:val="00166DD3"/>
    <w:rsid w:val="00173EBF"/>
    <w:rsid w:val="00174DC2"/>
    <w:rsid w:val="00175606"/>
    <w:rsid w:val="0017584A"/>
    <w:rsid w:val="00175E6E"/>
    <w:rsid w:val="00181EB4"/>
    <w:rsid w:val="001827C7"/>
    <w:rsid w:val="00182AC8"/>
    <w:rsid w:val="00183995"/>
    <w:rsid w:val="00185DD9"/>
    <w:rsid w:val="00187E43"/>
    <w:rsid w:val="00187FEA"/>
    <w:rsid w:val="0019159D"/>
    <w:rsid w:val="00191B6E"/>
    <w:rsid w:val="00192E96"/>
    <w:rsid w:val="00193B29"/>
    <w:rsid w:val="001942F2"/>
    <w:rsid w:val="00196A01"/>
    <w:rsid w:val="001A0027"/>
    <w:rsid w:val="001A3024"/>
    <w:rsid w:val="001A49F7"/>
    <w:rsid w:val="001A67DF"/>
    <w:rsid w:val="001A7964"/>
    <w:rsid w:val="001A7D35"/>
    <w:rsid w:val="001B05BE"/>
    <w:rsid w:val="001B18D7"/>
    <w:rsid w:val="001B25EB"/>
    <w:rsid w:val="001B45D4"/>
    <w:rsid w:val="001B5BC5"/>
    <w:rsid w:val="001B6A1B"/>
    <w:rsid w:val="001B6ED8"/>
    <w:rsid w:val="001C15C4"/>
    <w:rsid w:val="001C249A"/>
    <w:rsid w:val="001C30F9"/>
    <w:rsid w:val="001C479A"/>
    <w:rsid w:val="001C7E74"/>
    <w:rsid w:val="001D271E"/>
    <w:rsid w:val="001D3522"/>
    <w:rsid w:val="001D71A3"/>
    <w:rsid w:val="001D7620"/>
    <w:rsid w:val="001E14B9"/>
    <w:rsid w:val="001E1EDD"/>
    <w:rsid w:val="001E5701"/>
    <w:rsid w:val="001E7F83"/>
    <w:rsid w:val="001F35C3"/>
    <w:rsid w:val="001F420E"/>
    <w:rsid w:val="001F6BAF"/>
    <w:rsid w:val="002003A9"/>
    <w:rsid w:val="00202184"/>
    <w:rsid w:val="002052D4"/>
    <w:rsid w:val="00205AEA"/>
    <w:rsid w:val="00205ECE"/>
    <w:rsid w:val="0020677D"/>
    <w:rsid w:val="002069BB"/>
    <w:rsid w:val="00207EE8"/>
    <w:rsid w:val="00212699"/>
    <w:rsid w:val="00213959"/>
    <w:rsid w:val="0021788D"/>
    <w:rsid w:val="00221E0B"/>
    <w:rsid w:val="002236BB"/>
    <w:rsid w:val="00224FB6"/>
    <w:rsid w:val="00225948"/>
    <w:rsid w:val="0022669C"/>
    <w:rsid w:val="0022746D"/>
    <w:rsid w:val="002278E4"/>
    <w:rsid w:val="00230329"/>
    <w:rsid w:val="00230A9C"/>
    <w:rsid w:val="002322DB"/>
    <w:rsid w:val="00235112"/>
    <w:rsid w:val="002352EB"/>
    <w:rsid w:val="0023560F"/>
    <w:rsid w:val="00235D8C"/>
    <w:rsid w:val="00237D79"/>
    <w:rsid w:val="002427EC"/>
    <w:rsid w:val="0024430A"/>
    <w:rsid w:val="002443AF"/>
    <w:rsid w:val="00244441"/>
    <w:rsid w:val="00246226"/>
    <w:rsid w:val="002465CF"/>
    <w:rsid w:val="00247106"/>
    <w:rsid w:val="0024727F"/>
    <w:rsid w:val="002476CB"/>
    <w:rsid w:val="00247986"/>
    <w:rsid w:val="00254BB1"/>
    <w:rsid w:val="00256478"/>
    <w:rsid w:val="00257C8D"/>
    <w:rsid w:val="00260AA3"/>
    <w:rsid w:val="002615B3"/>
    <w:rsid w:val="00261B3D"/>
    <w:rsid w:val="002623CD"/>
    <w:rsid w:val="00267ABB"/>
    <w:rsid w:val="00270A2B"/>
    <w:rsid w:val="00273B96"/>
    <w:rsid w:val="00276BC1"/>
    <w:rsid w:val="00276E48"/>
    <w:rsid w:val="002776C1"/>
    <w:rsid w:val="0028019D"/>
    <w:rsid w:val="00283299"/>
    <w:rsid w:val="00284F3E"/>
    <w:rsid w:val="002850A3"/>
    <w:rsid w:val="0028757E"/>
    <w:rsid w:val="00290714"/>
    <w:rsid w:val="00292845"/>
    <w:rsid w:val="00293368"/>
    <w:rsid w:val="002937F5"/>
    <w:rsid w:val="00294C89"/>
    <w:rsid w:val="00295797"/>
    <w:rsid w:val="002968DC"/>
    <w:rsid w:val="002A1258"/>
    <w:rsid w:val="002A3F08"/>
    <w:rsid w:val="002A4152"/>
    <w:rsid w:val="002A5F34"/>
    <w:rsid w:val="002A6A4F"/>
    <w:rsid w:val="002B3FDA"/>
    <w:rsid w:val="002B7281"/>
    <w:rsid w:val="002C3B8C"/>
    <w:rsid w:val="002C480A"/>
    <w:rsid w:val="002C5C26"/>
    <w:rsid w:val="002D07E0"/>
    <w:rsid w:val="002D184E"/>
    <w:rsid w:val="002D2398"/>
    <w:rsid w:val="002D3CC4"/>
    <w:rsid w:val="002D419B"/>
    <w:rsid w:val="002D4305"/>
    <w:rsid w:val="002D4439"/>
    <w:rsid w:val="002D4751"/>
    <w:rsid w:val="002D56D6"/>
    <w:rsid w:val="002D6858"/>
    <w:rsid w:val="002D7EE3"/>
    <w:rsid w:val="002E060C"/>
    <w:rsid w:val="002E26E3"/>
    <w:rsid w:val="002E2F9E"/>
    <w:rsid w:val="002E3CF6"/>
    <w:rsid w:val="002E5E95"/>
    <w:rsid w:val="002E64E9"/>
    <w:rsid w:val="002F2F45"/>
    <w:rsid w:val="002F3697"/>
    <w:rsid w:val="002F3D70"/>
    <w:rsid w:val="002F4708"/>
    <w:rsid w:val="002F4E17"/>
    <w:rsid w:val="002F7119"/>
    <w:rsid w:val="002F7488"/>
    <w:rsid w:val="00302927"/>
    <w:rsid w:val="00304B5D"/>
    <w:rsid w:val="00310657"/>
    <w:rsid w:val="00313024"/>
    <w:rsid w:val="003159A2"/>
    <w:rsid w:val="00316CCD"/>
    <w:rsid w:val="003174B4"/>
    <w:rsid w:val="00322046"/>
    <w:rsid w:val="00324AE0"/>
    <w:rsid w:val="00324FE7"/>
    <w:rsid w:val="00325342"/>
    <w:rsid w:val="00325F8D"/>
    <w:rsid w:val="003278AF"/>
    <w:rsid w:val="00330D92"/>
    <w:rsid w:val="00331B87"/>
    <w:rsid w:val="00332160"/>
    <w:rsid w:val="00332182"/>
    <w:rsid w:val="00332740"/>
    <w:rsid w:val="00335C0C"/>
    <w:rsid w:val="00336E8A"/>
    <w:rsid w:val="00336F28"/>
    <w:rsid w:val="00337208"/>
    <w:rsid w:val="00337F78"/>
    <w:rsid w:val="0034316B"/>
    <w:rsid w:val="003449DE"/>
    <w:rsid w:val="0034782E"/>
    <w:rsid w:val="003574BC"/>
    <w:rsid w:val="00357A0B"/>
    <w:rsid w:val="00360F71"/>
    <w:rsid w:val="00365F65"/>
    <w:rsid w:val="00367240"/>
    <w:rsid w:val="00370C3E"/>
    <w:rsid w:val="0037347D"/>
    <w:rsid w:val="00373C33"/>
    <w:rsid w:val="0038057F"/>
    <w:rsid w:val="00380BE8"/>
    <w:rsid w:val="00380CDB"/>
    <w:rsid w:val="00384132"/>
    <w:rsid w:val="00384FBF"/>
    <w:rsid w:val="0038560B"/>
    <w:rsid w:val="003871A8"/>
    <w:rsid w:val="00393837"/>
    <w:rsid w:val="003970A7"/>
    <w:rsid w:val="003A0148"/>
    <w:rsid w:val="003A120A"/>
    <w:rsid w:val="003A1473"/>
    <w:rsid w:val="003A1869"/>
    <w:rsid w:val="003A1CA1"/>
    <w:rsid w:val="003A2F77"/>
    <w:rsid w:val="003A374E"/>
    <w:rsid w:val="003A4E19"/>
    <w:rsid w:val="003A6BEE"/>
    <w:rsid w:val="003A7BA2"/>
    <w:rsid w:val="003B3C9E"/>
    <w:rsid w:val="003B5F33"/>
    <w:rsid w:val="003B69BD"/>
    <w:rsid w:val="003B728A"/>
    <w:rsid w:val="003C22B5"/>
    <w:rsid w:val="003C2546"/>
    <w:rsid w:val="003C2A7C"/>
    <w:rsid w:val="003C369F"/>
    <w:rsid w:val="003C5DD3"/>
    <w:rsid w:val="003C692A"/>
    <w:rsid w:val="003C6A2F"/>
    <w:rsid w:val="003C6D86"/>
    <w:rsid w:val="003C707C"/>
    <w:rsid w:val="003D039D"/>
    <w:rsid w:val="003D2959"/>
    <w:rsid w:val="003D6BE1"/>
    <w:rsid w:val="003D6C8D"/>
    <w:rsid w:val="003D778B"/>
    <w:rsid w:val="003D7BCF"/>
    <w:rsid w:val="003E60CA"/>
    <w:rsid w:val="003E76EA"/>
    <w:rsid w:val="003F04EC"/>
    <w:rsid w:val="003F1182"/>
    <w:rsid w:val="003F1D23"/>
    <w:rsid w:val="003F3966"/>
    <w:rsid w:val="003F445A"/>
    <w:rsid w:val="004008F9"/>
    <w:rsid w:val="0040105A"/>
    <w:rsid w:val="0040409A"/>
    <w:rsid w:val="0040481B"/>
    <w:rsid w:val="004056EB"/>
    <w:rsid w:val="00406FB0"/>
    <w:rsid w:val="00407603"/>
    <w:rsid w:val="00411773"/>
    <w:rsid w:val="00411886"/>
    <w:rsid w:val="0041197B"/>
    <w:rsid w:val="00412ABF"/>
    <w:rsid w:val="004160F8"/>
    <w:rsid w:val="0041716E"/>
    <w:rsid w:val="0041742F"/>
    <w:rsid w:val="00417603"/>
    <w:rsid w:val="00427B91"/>
    <w:rsid w:val="00431D46"/>
    <w:rsid w:val="004329D2"/>
    <w:rsid w:val="00435CA5"/>
    <w:rsid w:val="00437C8B"/>
    <w:rsid w:val="00437ED7"/>
    <w:rsid w:val="0044105B"/>
    <w:rsid w:val="004416C8"/>
    <w:rsid w:val="00441990"/>
    <w:rsid w:val="00441EDF"/>
    <w:rsid w:val="00442187"/>
    <w:rsid w:val="00443FB9"/>
    <w:rsid w:val="00444374"/>
    <w:rsid w:val="00450936"/>
    <w:rsid w:val="00451D2E"/>
    <w:rsid w:val="004523EA"/>
    <w:rsid w:val="00452A95"/>
    <w:rsid w:val="004530A4"/>
    <w:rsid w:val="00453E15"/>
    <w:rsid w:val="00453EF7"/>
    <w:rsid w:val="0045761F"/>
    <w:rsid w:val="00460E9C"/>
    <w:rsid w:val="00461C3F"/>
    <w:rsid w:val="0046282D"/>
    <w:rsid w:val="00462FF0"/>
    <w:rsid w:val="00465293"/>
    <w:rsid w:val="00465B53"/>
    <w:rsid w:val="004710F7"/>
    <w:rsid w:val="004736F7"/>
    <w:rsid w:val="004743E1"/>
    <w:rsid w:val="00477A30"/>
    <w:rsid w:val="0048149E"/>
    <w:rsid w:val="00486956"/>
    <w:rsid w:val="00490FA7"/>
    <w:rsid w:val="0049182B"/>
    <w:rsid w:val="00491E08"/>
    <w:rsid w:val="00493015"/>
    <w:rsid w:val="00495C5F"/>
    <w:rsid w:val="004969AA"/>
    <w:rsid w:val="00497AD5"/>
    <w:rsid w:val="004A224B"/>
    <w:rsid w:val="004A3B54"/>
    <w:rsid w:val="004A480E"/>
    <w:rsid w:val="004A597A"/>
    <w:rsid w:val="004B066C"/>
    <w:rsid w:val="004B06B3"/>
    <w:rsid w:val="004B0B0B"/>
    <w:rsid w:val="004B3231"/>
    <w:rsid w:val="004B5418"/>
    <w:rsid w:val="004C0849"/>
    <w:rsid w:val="004C1055"/>
    <w:rsid w:val="004C109D"/>
    <w:rsid w:val="004C148B"/>
    <w:rsid w:val="004C1BBE"/>
    <w:rsid w:val="004C4489"/>
    <w:rsid w:val="004C53E7"/>
    <w:rsid w:val="004C56D4"/>
    <w:rsid w:val="004D2307"/>
    <w:rsid w:val="004D2CB1"/>
    <w:rsid w:val="004D4099"/>
    <w:rsid w:val="004D43AC"/>
    <w:rsid w:val="004D46E4"/>
    <w:rsid w:val="004D4B37"/>
    <w:rsid w:val="004D6A34"/>
    <w:rsid w:val="004D772A"/>
    <w:rsid w:val="004E0F6D"/>
    <w:rsid w:val="004E47BD"/>
    <w:rsid w:val="004E47D0"/>
    <w:rsid w:val="004E4EC3"/>
    <w:rsid w:val="004E58CC"/>
    <w:rsid w:val="004E5A45"/>
    <w:rsid w:val="004E726B"/>
    <w:rsid w:val="004F0936"/>
    <w:rsid w:val="004F0DAA"/>
    <w:rsid w:val="004F2C05"/>
    <w:rsid w:val="004F336E"/>
    <w:rsid w:val="004F7490"/>
    <w:rsid w:val="004F7C00"/>
    <w:rsid w:val="005016A4"/>
    <w:rsid w:val="0050180B"/>
    <w:rsid w:val="00502413"/>
    <w:rsid w:val="00510DA2"/>
    <w:rsid w:val="00512461"/>
    <w:rsid w:val="00514AF5"/>
    <w:rsid w:val="00515502"/>
    <w:rsid w:val="00516881"/>
    <w:rsid w:val="00516A81"/>
    <w:rsid w:val="00517962"/>
    <w:rsid w:val="005227D8"/>
    <w:rsid w:val="00525C07"/>
    <w:rsid w:val="00527C91"/>
    <w:rsid w:val="00527D1F"/>
    <w:rsid w:val="00527E51"/>
    <w:rsid w:val="00540E94"/>
    <w:rsid w:val="00541841"/>
    <w:rsid w:val="00541D67"/>
    <w:rsid w:val="00542CD3"/>
    <w:rsid w:val="00542F95"/>
    <w:rsid w:val="00543670"/>
    <w:rsid w:val="00544665"/>
    <w:rsid w:val="00544FF5"/>
    <w:rsid w:val="00545BD2"/>
    <w:rsid w:val="0054688E"/>
    <w:rsid w:val="00547091"/>
    <w:rsid w:val="00550164"/>
    <w:rsid w:val="005506FB"/>
    <w:rsid w:val="00551D92"/>
    <w:rsid w:val="00552335"/>
    <w:rsid w:val="0055438D"/>
    <w:rsid w:val="00557E22"/>
    <w:rsid w:val="00562481"/>
    <w:rsid w:val="00565741"/>
    <w:rsid w:val="0057094D"/>
    <w:rsid w:val="00577FE8"/>
    <w:rsid w:val="0058189E"/>
    <w:rsid w:val="0058279E"/>
    <w:rsid w:val="00584249"/>
    <w:rsid w:val="00591F8D"/>
    <w:rsid w:val="00592A56"/>
    <w:rsid w:val="00592D66"/>
    <w:rsid w:val="0059529A"/>
    <w:rsid w:val="00597C3D"/>
    <w:rsid w:val="005A04C3"/>
    <w:rsid w:val="005A2539"/>
    <w:rsid w:val="005A33B2"/>
    <w:rsid w:val="005A4BBA"/>
    <w:rsid w:val="005A553B"/>
    <w:rsid w:val="005A5DCC"/>
    <w:rsid w:val="005A60DC"/>
    <w:rsid w:val="005A62A0"/>
    <w:rsid w:val="005A77F5"/>
    <w:rsid w:val="005B40C8"/>
    <w:rsid w:val="005B627B"/>
    <w:rsid w:val="005B6A53"/>
    <w:rsid w:val="005B6E65"/>
    <w:rsid w:val="005C03C9"/>
    <w:rsid w:val="005C08B0"/>
    <w:rsid w:val="005C39AA"/>
    <w:rsid w:val="005C4E59"/>
    <w:rsid w:val="005C653A"/>
    <w:rsid w:val="005C6697"/>
    <w:rsid w:val="005C70F7"/>
    <w:rsid w:val="005C7D0B"/>
    <w:rsid w:val="005D1122"/>
    <w:rsid w:val="005D3867"/>
    <w:rsid w:val="005D465B"/>
    <w:rsid w:val="005D4994"/>
    <w:rsid w:val="005E13B4"/>
    <w:rsid w:val="005E43B1"/>
    <w:rsid w:val="005E5E19"/>
    <w:rsid w:val="005E6007"/>
    <w:rsid w:val="005F171C"/>
    <w:rsid w:val="005F3072"/>
    <w:rsid w:val="005F4324"/>
    <w:rsid w:val="005F548D"/>
    <w:rsid w:val="005F5C95"/>
    <w:rsid w:val="005F6512"/>
    <w:rsid w:val="0060508B"/>
    <w:rsid w:val="0061323B"/>
    <w:rsid w:val="00614036"/>
    <w:rsid w:val="00614BB1"/>
    <w:rsid w:val="00615CCC"/>
    <w:rsid w:val="006166F3"/>
    <w:rsid w:val="00621E20"/>
    <w:rsid w:val="00624206"/>
    <w:rsid w:val="00626D2F"/>
    <w:rsid w:val="006304E5"/>
    <w:rsid w:val="0063091C"/>
    <w:rsid w:val="00630BD8"/>
    <w:rsid w:val="0063102B"/>
    <w:rsid w:val="0063114C"/>
    <w:rsid w:val="00631B85"/>
    <w:rsid w:val="00631D58"/>
    <w:rsid w:val="006328DD"/>
    <w:rsid w:val="006329C8"/>
    <w:rsid w:val="00632D06"/>
    <w:rsid w:val="00632E71"/>
    <w:rsid w:val="00634FC4"/>
    <w:rsid w:val="00635BA8"/>
    <w:rsid w:val="00635CFD"/>
    <w:rsid w:val="00636479"/>
    <w:rsid w:val="00637C62"/>
    <w:rsid w:val="00640A58"/>
    <w:rsid w:val="00640DE0"/>
    <w:rsid w:val="00643863"/>
    <w:rsid w:val="00647302"/>
    <w:rsid w:val="00651012"/>
    <w:rsid w:val="0065122D"/>
    <w:rsid w:val="00651235"/>
    <w:rsid w:val="006546DD"/>
    <w:rsid w:val="00654DAB"/>
    <w:rsid w:val="00655291"/>
    <w:rsid w:val="006552B7"/>
    <w:rsid w:val="00655973"/>
    <w:rsid w:val="00655FE8"/>
    <w:rsid w:val="00656208"/>
    <w:rsid w:val="0065650B"/>
    <w:rsid w:val="006576C6"/>
    <w:rsid w:val="00661152"/>
    <w:rsid w:val="006612BD"/>
    <w:rsid w:val="0066285A"/>
    <w:rsid w:val="0066380C"/>
    <w:rsid w:val="00664604"/>
    <w:rsid w:val="0066586C"/>
    <w:rsid w:val="00665CD9"/>
    <w:rsid w:val="00671802"/>
    <w:rsid w:val="00673CEE"/>
    <w:rsid w:val="00674B2B"/>
    <w:rsid w:val="00674B40"/>
    <w:rsid w:val="00676795"/>
    <w:rsid w:val="00676AD2"/>
    <w:rsid w:val="00681F50"/>
    <w:rsid w:val="00683DAD"/>
    <w:rsid w:val="00684F9E"/>
    <w:rsid w:val="0068633F"/>
    <w:rsid w:val="0068650D"/>
    <w:rsid w:val="006878F0"/>
    <w:rsid w:val="00696E67"/>
    <w:rsid w:val="006972EA"/>
    <w:rsid w:val="00697766"/>
    <w:rsid w:val="006A004B"/>
    <w:rsid w:val="006A0660"/>
    <w:rsid w:val="006A0A3F"/>
    <w:rsid w:val="006A0C63"/>
    <w:rsid w:val="006A2071"/>
    <w:rsid w:val="006A2A11"/>
    <w:rsid w:val="006A3A34"/>
    <w:rsid w:val="006A58AE"/>
    <w:rsid w:val="006A5B11"/>
    <w:rsid w:val="006A5CD5"/>
    <w:rsid w:val="006A7AF9"/>
    <w:rsid w:val="006B2164"/>
    <w:rsid w:val="006B6C47"/>
    <w:rsid w:val="006B73A2"/>
    <w:rsid w:val="006C0FF4"/>
    <w:rsid w:val="006C182D"/>
    <w:rsid w:val="006C28D9"/>
    <w:rsid w:val="006C2D2B"/>
    <w:rsid w:val="006C3B0E"/>
    <w:rsid w:val="006C4582"/>
    <w:rsid w:val="006C4624"/>
    <w:rsid w:val="006C47AE"/>
    <w:rsid w:val="006C63E5"/>
    <w:rsid w:val="006C71AD"/>
    <w:rsid w:val="006C75F2"/>
    <w:rsid w:val="006D0201"/>
    <w:rsid w:val="006D087D"/>
    <w:rsid w:val="006D0C47"/>
    <w:rsid w:val="006D2A01"/>
    <w:rsid w:val="006D37DE"/>
    <w:rsid w:val="006D574B"/>
    <w:rsid w:val="006D6750"/>
    <w:rsid w:val="006E61DB"/>
    <w:rsid w:val="006E6F11"/>
    <w:rsid w:val="006E7AC0"/>
    <w:rsid w:val="006F14DB"/>
    <w:rsid w:val="006F160E"/>
    <w:rsid w:val="006F2034"/>
    <w:rsid w:val="006F4D5D"/>
    <w:rsid w:val="006F5CD1"/>
    <w:rsid w:val="006F62F3"/>
    <w:rsid w:val="00700FA1"/>
    <w:rsid w:val="007037EF"/>
    <w:rsid w:val="00703B44"/>
    <w:rsid w:val="0070401C"/>
    <w:rsid w:val="00704066"/>
    <w:rsid w:val="00710170"/>
    <w:rsid w:val="007109BB"/>
    <w:rsid w:val="00710D1B"/>
    <w:rsid w:val="00712225"/>
    <w:rsid w:val="00712376"/>
    <w:rsid w:val="0071364F"/>
    <w:rsid w:val="007145F2"/>
    <w:rsid w:val="00714823"/>
    <w:rsid w:val="00717450"/>
    <w:rsid w:val="0072313D"/>
    <w:rsid w:val="00725615"/>
    <w:rsid w:val="00727C3C"/>
    <w:rsid w:val="00731BD5"/>
    <w:rsid w:val="00734251"/>
    <w:rsid w:val="0073774C"/>
    <w:rsid w:val="0074405F"/>
    <w:rsid w:val="0074534D"/>
    <w:rsid w:val="00745E50"/>
    <w:rsid w:val="00745EDB"/>
    <w:rsid w:val="00747621"/>
    <w:rsid w:val="00751140"/>
    <w:rsid w:val="00753EA1"/>
    <w:rsid w:val="00761588"/>
    <w:rsid w:val="0076187A"/>
    <w:rsid w:val="00763157"/>
    <w:rsid w:val="007644DA"/>
    <w:rsid w:val="0076467C"/>
    <w:rsid w:val="007649A9"/>
    <w:rsid w:val="00766F1B"/>
    <w:rsid w:val="007678D4"/>
    <w:rsid w:val="00770B34"/>
    <w:rsid w:val="00771D21"/>
    <w:rsid w:val="007806EA"/>
    <w:rsid w:val="007816E5"/>
    <w:rsid w:val="00781912"/>
    <w:rsid w:val="007827EC"/>
    <w:rsid w:val="007856C5"/>
    <w:rsid w:val="007859E0"/>
    <w:rsid w:val="0078721F"/>
    <w:rsid w:val="007875E6"/>
    <w:rsid w:val="00792707"/>
    <w:rsid w:val="00795CF6"/>
    <w:rsid w:val="00796949"/>
    <w:rsid w:val="00796A6A"/>
    <w:rsid w:val="00796C25"/>
    <w:rsid w:val="007A1776"/>
    <w:rsid w:val="007A26B2"/>
    <w:rsid w:val="007A3AE6"/>
    <w:rsid w:val="007A3EF3"/>
    <w:rsid w:val="007A435B"/>
    <w:rsid w:val="007A6308"/>
    <w:rsid w:val="007A6E72"/>
    <w:rsid w:val="007A7115"/>
    <w:rsid w:val="007A73D3"/>
    <w:rsid w:val="007A7619"/>
    <w:rsid w:val="007B2BD0"/>
    <w:rsid w:val="007B4396"/>
    <w:rsid w:val="007B4C02"/>
    <w:rsid w:val="007B5058"/>
    <w:rsid w:val="007C104F"/>
    <w:rsid w:val="007C400E"/>
    <w:rsid w:val="007C72D6"/>
    <w:rsid w:val="007D35BB"/>
    <w:rsid w:val="007D39C7"/>
    <w:rsid w:val="007D52B0"/>
    <w:rsid w:val="007D577F"/>
    <w:rsid w:val="007D7441"/>
    <w:rsid w:val="007D757D"/>
    <w:rsid w:val="007D7621"/>
    <w:rsid w:val="007E053A"/>
    <w:rsid w:val="007E24DE"/>
    <w:rsid w:val="007E3295"/>
    <w:rsid w:val="007E5A7F"/>
    <w:rsid w:val="007E6919"/>
    <w:rsid w:val="007E6C66"/>
    <w:rsid w:val="007F1AF1"/>
    <w:rsid w:val="007F2165"/>
    <w:rsid w:val="007F3823"/>
    <w:rsid w:val="007F4EA3"/>
    <w:rsid w:val="007F501C"/>
    <w:rsid w:val="007F509B"/>
    <w:rsid w:val="007F5465"/>
    <w:rsid w:val="007F54E7"/>
    <w:rsid w:val="00801BA5"/>
    <w:rsid w:val="00802A75"/>
    <w:rsid w:val="00803294"/>
    <w:rsid w:val="0080436C"/>
    <w:rsid w:val="00804FB5"/>
    <w:rsid w:val="008125BA"/>
    <w:rsid w:val="00812715"/>
    <w:rsid w:val="00813893"/>
    <w:rsid w:val="00814430"/>
    <w:rsid w:val="008159EE"/>
    <w:rsid w:val="00815DC4"/>
    <w:rsid w:val="0081671A"/>
    <w:rsid w:val="00821452"/>
    <w:rsid w:val="00821707"/>
    <w:rsid w:val="00823475"/>
    <w:rsid w:val="00826E51"/>
    <w:rsid w:val="00826F43"/>
    <w:rsid w:val="008313B2"/>
    <w:rsid w:val="00831658"/>
    <w:rsid w:val="008325FE"/>
    <w:rsid w:val="00832DB9"/>
    <w:rsid w:val="00835EEE"/>
    <w:rsid w:val="00836033"/>
    <w:rsid w:val="0083611E"/>
    <w:rsid w:val="0083671A"/>
    <w:rsid w:val="00836C7B"/>
    <w:rsid w:val="00837F27"/>
    <w:rsid w:val="00840EB7"/>
    <w:rsid w:val="00844CB4"/>
    <w:rsid w:val="00845A98"/>
    <w:rsid w:val="008465EF"/>
    <w:rsid w:val="00850229"/>
    <w:rsid w:val="008508F2"/>
    <w:rsid w:val="008532E4"/>
    <w:rsid w:val="0085371C"/>
    <w:rsid w:val="00854262"/>
    <w:rsid w:val="0085667E"/>
    <w:rsid w:val="00856D83"/>
    <w:rsid w:val="00861824"/>
    <w:rsid w:val="008625E4"/>
    <w:rsid w:val="00862D47"/>
    <w:rsid w:val="00863D76"/>
    <w:rsid w:val="00863D99"/>
    <w:rsid w:val="00863DED"/>
    <w:rsid w:val="008647DC"/>
    <w:rsid w:val="00864D25"/>
    <w:rsid w:val="00865424"/>
    <w:rsid w:val="00866686"/>
    <w:rsid w:val="00871A46"/>
    <w:rsid w:val="008733C5"/>
    <w:rsid w:val="008819B3"/>
    <w:rsid w:val="00881E39"/>
    <w:rsid w:val="00883C7E"/>
    <w:rsid w:val="00884022"/>
    <w:rsid w:val="008847F0"/>
    <w:rsid w:val="008860A4"/>
    <w:rsid w:val="008878CF"/>
    <w:rsid w:val="008905F9"/>
    <w:rsid w:val="00890991"/>
    <w:rsid w:val="008920FD"/>
    <w:rsid w:val="00892DCB"/>
    <w:rsid w:val="008A5726"/>
    <w:rsid w:val="008A786F"/>
    <w:rsid w:val="008B0253"/>
    <w:rsid w:val="008B0EB6"/>
    <w:rsid w:val="008B254D"/>
    <w:rsid w:val="008B5F4A"/>
    <w:rsid w:val="008B680C"/>
    <w:rsid w:val="008B7DE9"/>
    <w:rsid w:val="008C142B"/>
    <w:rsid w:val="008C41A5"/>
    <w:rsid w:val="008C4F96"/>
    <w:rsid w:val="008C670D"/>
    <w:rsid w:val="008C785D"/>
    <w:rsid w:val="008D1669"/>
    <w:rsid w:val="008D5105"/>
    <w:rsid w:val="008E1915"/>
    <w:rsid w:val="008E2A08"/>
    <w:rsid w:val="008E4D42"/>
    <w:rsid w:val="008E6073"/>
    <w:rsid w:val="008E7948"/>
    <w:rsid w:val="008F03D5"/>
    <w:rsid w:val="008F0BE7"/>
    <w:rsid w:val="008F156A"/>
    <w:rsid w:val="008F3A66"/>
    <w:rsid w:val="008F4B8C"/>
    <w:rsid w:val="008F7373"/>
    <w:rsid w:val="009042C1"/>
    <w:rsid w:val="009068B2"/>
    <w:rsid w:val="0090710F"/>
    <w:rsid w:val="00913A67"/>
    <w:rsid w:val="00914481"/>
    <w:rsid w:val="00915AE7"/>
    <w:rsid w:val="00916A50"/>
    <w:rsid w:val="00916C06"/>
    <w:rsid w:val="0092031C"/>
    <w:rsid w:val="0092164E"/>
    <w:rsid w:val="009217BB"/>
    <w:rsid w:val="0092224D"/>
    <w:rsid w:val="00922BF2"/>
    <w:rsid w:val="009237C1"/>
    <w:rsid w:val="009240F8"/>
    <w:rsid w:val="00924134"/>
    <w:rsid w:val="00924C54"/>
    <w:rsid w:val="0093045B"/>
    <w:rsid w:val="00931307"/>
    <w:rsid w:val="0093494A"/>
    <w:rsid w:val="00934AE7"/>
    <w:rsid w:val="0094128B"/>
    <w:rsid w:val="009444D0"/>
    <w:rsid w:val="0094635E"/>
    <w:rsid w:val="009507A0"/>
    <w:rsid w:val="009515E5"/>
    <w:rsid w:val="009531EB"/>
    <w:rsid w:val="00953496"/>
    <w:rsid w:val="00953BCF"/>
    <w:rsid w:val="00955F75"/>
    <w:rsid w:val="0095639C"/>
    <w:rsid w:val="009565FC"/>
    <w:rsid w:val="00960AA7"/>
    <w:rsid w:val="00961F08"/>
    <w:rsid w:val="009629F9"/>
    <w:rsid w:val="009632D0"/>
    <w:rsid w:val="00964904"/>
    <w:rsid w:val="00964CF5"/>
    <w:rsid w:val="009661D2"/>
    <w:rsid w:val="00971548"/>
    <w:rsid w:val="00974BF5"/>
    <w:rsid w:val="009759FD"/>
    <w:rsid w:val="00976693"/>
    <w:rsid w:val="00977302"/>
    <w:rsid w:val="00980547"/>
    <w:rsid w:val="00980740"/>
    <w:rsid w:val="00980A32"/>
    <w:rsid w:val="009831B4"/>
    <w:rsid w:val="00984C9C"/>
    <w:rsid w:val="0098716C"/>
    <w:rsid w:val="009911B7"/>
    <w:rsid w:val="0099261D"/>
    <w:rsid w:val="00995A28"/>
    <w:rsid w:val="009970C5"/>
    <w:rsid w:val="009A31BE"/>
    <w:rsid w:val="009A416A"/>
    <w:rsid w:val="009A7E6F"/>
    <w:rsid w:val="009B0C22"/>
    <w:rsid w:val="009B20B9"/>
    <w:rsid w:val="009B30D7"/>
    <w:rsid w:val="009B51C7"/>
    <w:rsid w:val="009B52E2"/>
    <w:rsid w:val="009B709D"/>
    <w:rsid w:val="009C042B"/>
    <w:rsid w:val="009C07EF"/>
    <w:rsid w:val="009C0D3D"/>
    <w:rsid w:val="009C1C44"/>
    <w:rsid w:val="009C35BD"/>
    <w:rsid w:val="009C36DA"/>
    <w:rsid w:val="009D0F4E"/>
    <w:rsid w:val="009D35C3"/>
    <w:rsid w:val="009D3828"/>
    <w:rsid w:val="009D4264"/>
    <w:rsid w:val="009D49BB"/>
    <w:rsid w:val="009D67C7"/>
    <w:rsid w:val="009E0C03"/>
    <w:rsid w:val="009E1145"/>
    <w:rsid w:val="009E2748"/>
    <w:rsid w:val="009E3716"/>
    <w:rsid w:val="009E3DAF"/>
    <w:rsid w:val="009E4015"/>
    <w:rsid w:val="009E6C9B"/>
    <w:rsid w:val="009E6E45"/>
    <w:rsid w:val="009F1F5D"/>
    <w:rsid w:val="009F2645"/>
    <w:rsid w:val="009F2FCA"/>
    <w:rsid w:val="00A010F6"/>
    <w:rsid w:val="00A04ED8"/>
    <w:rsid w:val="00A05F49"/>
    <w:rsid w:val="00A0625C"/>
    <w:rsid w:val="00A07C8B"/>
    <w:rsid w:val="00A103C7"/>
    <w:rsid w:val="00A12D85"/>
    <w:rsid w:val="00A13773"/>
    <w:rsid w:val="00A16FAB"/>
    <w:rsid w:val="00A17510"/>
    <w:rsid w:val="00A20624"/>
    <w:rsid w:val="00A209F3"/>
    <w:rsid w:val="00A21512"/>
    <w:rsid w:val="00A218F1"/>
    <w:rsid w:val="00A21DFF"/>
    <w:rsid w:val="00A233F0"/>
    <w:rsid w:val="00A26E2D"/>
    <w:rsid w:val="00A302CF"/>
    <w:rsid w:val="00A31831"/>
    <w:rsid w:val="00A347C0"/>
    <w:rsid w:val="00A34DF7"/>
    <w:rsid w:val="00A351D6"/>
    <w:rsid w:val="00A35E25"/>
    <w:rsid w:val="00A37C39"/>
    <w:rsid w:val="00A40571"/>
    <w:rsid w:val="00A41ED9"/>
    <w:rsid w:val="00A464AD"/>
    <w:rsid w:val="00A47A6F"/>
    <w:rsid w:val="00A47C6F"/>
    <w:rsid w:val="00A51217"/>
    <w:rsid w:val="00A51375"/>
    <w:rsid w:val="00A53170"/>
    <w:rsid w:val="00A53A4E"/>
    <w:rsid w:val="00A54AC1"/>
    <w:rsid w:val="00A57311"/>
    <w:rsid w:val="00A60503"/>
    <w:rsid w:val="00A6434E"/>
    <w:rsid w:val="00A6512C"/>
    <w:rsid w:val="00A70D27"/>
    <w:rsid w:val="00A7113A"/>
    <w:rsid w:val="00A75CC5"/>
    <w:rsid w:val="00A771ED"/>
    <w:rsid w:val="00A80704"/>
    <w:rsid w:val="00A80B20"/>
    <w:rsid w:val="00A820C7"/>
    <w:rsid w:val="00A8443E"/>
    <w:rsid w:val="00A849BB"/>
    <w:rsid w:val="00A90B66"/>
    <w:rsid w:val="00A9230A"/>
    <w:rsid w:val="00A954E1"/>
    <w:rsid w:val="00AA0AF3"/>
    <w:rsid w:val="00AA2A88"/>
    <w:rsid w:val="00AA5590"/>
    <w:rsid w:val="00AB0284"/>
    <w:rsid w:val="00AB03E1"/>
    <w:rsid w:val="00AB08EE"/>
    <w:rsid w:val="00AB4FF4"/>
    <w:rsid w:val="00AB5008"/>
    <w:rsid w:val="00AC21DB"/>
    <w:rsid w:val="00AC344C"/>
    <w:rsid w:val="00AC4246"/>
    <w:rsid w:val="00AC49FC"/>
    <w:rsid w:val="00AC5584"/>
    <w:rsid w:val="00AC5F1D"/>
    <w:rsid w:val="00AC7C2A"/>
    <w:rsid w:val="00AD069E"/>
    <w:rsid w:val="00AD0BB8"/>
    <w:rsid w:val="00AD1353"/>
    <w:rsid w:val="00AD4724"/>
    <w:rsid w:val="00AD4F01"/>
    <w:rsid w:val="00AE082F"/>
    <w:rsid w:val="00AE1EF9"/>
    <w:rsid w:val="00AE49AC"/>
    <w:rsid w:val="00AE7E6A"/>
    <w:rsid w:val="00AF666E"/>
    <w:rsid w:val="00B004DF"/>
    <w:rsid w:val="00B02C4C"/>
    <w:rsid w:val="00B02E4A"/>
    <w:rsid w:val="00B04FDD"/>
    <w:rsid w:val="00B07AAE"/>
    <w:rsid w:val="00B10327"/>
    <w:rsid w:val="00B118F8"/>
    <w:rsid w:val="00B13468"/>
    <w:rsid w:val="00B135E0"/>
    <w:rsid w:val="00B13C49"/>
    <w:rsid w:val="00B14756"/>
    <w:rsid w:val="00B167C5"/>
    <w:rsid w:val="00B2284D"/>
    <w:rsid w:val="00B246A1"/>
    <w:rsid w:val="00B24B6F"/>
    <w:rsid w:val="00B259F3"/>
    <w:rsid w:val="00B2621B"/>
    <w:rsid w:val="00B30BE8"/>
    <w:rsid w:val="00B324B0"/>
    <w:rsid w:val="00B346D7"/>
    <w:rsid w:val="00B44BB2"/>
    <w:rsid w:val="00B45425"/>
    <w:rsid w:val="00B53357"/>
    <w:rsid w:val="00B56722"/>
    <w:rsid w:val="00B5775E"/>
    <w:rsid w:val="00B600C1"/>
    <w:rsid w:val="00B605FC"/>
    <w:rsid w:val="00B60916"/>
    <w:rsid w:val="00B60BE8"/>
    <w:rsid w:val="00B61AA7"/>
    <w:rsid w:val="00B61C77"/>
    <w:rsid w:val="00B624E8"/>
    <w:rsid w:val="00B63255"/>
    <w:rsid w:val="00B645D7"/>
    <w:rsid w:val="00B64773"/>
    <w:rsid w:val="00B64C64"/>
    <w:rsid w:val="00B65672"/>
    <w:rsid w:val="00B660A0"/>
    <w:rsid w:val="00B6616E"/>
    <w:rsid w:val="00B66844"/>
    <w:rsid w:val="00B66D26"/>
    <w:rsid w:val="00B707BC"/>
    <w:rsid w:val="00B71C77"/>
    <w:rsid w:val="00B723AC"/>
    <w:rsid w:val="00B751A4"/>
    <w:rsid w:val="00B75A15"/>
    <w:rsid w:val="00B75CE0"/>
    <w:rsid w:val="00B771E8"/>
    <w:rsid w:val="00B80105"/>
    <w:rsid w:val="00B81F09"/>
    <w:rsid w:val="00B82AA1"/>
    <w:rsid w:val="00B86196"/>
    <w:rsid w:val="00B86E14"/>
    <w:rsid w:val="00B910FF"/>
    <w:rsid w:val="00B92DDC"/>
    <w:rsid w:val="00B949CB"/>
    <w:rsid w:val="00B96578"/>
    <w:rsid w:val="00B97CD6"/>
    <w:rsid w:val="00BA0B9A"/>
    <w:rsid w:val="00BA1B2F"/>
    <w:rsid w:val="00BA2B52"/>
    <w:rsid w:val="00BA3064"/>
    <w:rsid w:val="00BA3C6A"/>
    <w:rsid w:val="00BA4FB4"/>
    <w:rsid w:val="00BA506F"/>
    <w:rsid w:val="00BB3198"/>
    <w:rsid w:val="00BB54CE"/>
    <w:rsid w:val="00BB7E99"/>
    <w:rsid w:val="00BC175D"/>
    <w:rsid w:val="00BC2852"/>
    <w:rsid w:val="00BC50CF"/>
    <w:rsid w:val="00BC5F3A"/>
    <w:rsid w:val="00BC786A"/>
    <w:rsid w:val="00BC7D10"/>
    <w:rsid w:val="00BD02F6"/>
    <w:rsid w:val="00BD1D4D"/>
    <w:rsid w:val="00BD1E77"/>
    <w:rsid w:val="00BD4B86"/>
    <w:rsid w:val="00BD4DD0"/>
    <w:rsid w:val="00BD4EFE"/>
    <w:rsid w:val="00BD5055"/>
    <w:rsid w:val="00BD6A78"/>
    <w:rsid w:val="00BD762B"/>
    <w:rsid w:val="00BE057F"/>
    <w:rsid w:val="00BE23AD"/>
    <w:rsid w:val="00BE2BEB"/>
    <w:rsid w:val="00BE4AAD"/>
    <w:rsid w:val="00BE5F9F"/>
    <w:rsid w:val="00BE6770"/>
    <w:rsid w:val="00BE6C38"/>
    <w:rsid w:val="00BF040E"/>
    <w:rsid w:val="00BF2936"/>
    <w:rsid w:val="00BF30D0"/>
    <w:rsid w:val="00C004D0"/>
    <w:rsid w:val="00C00993"/>
    <w:rsid w:val="00C012CC"/>
    <w:rsid w:val="00C04817"/>
    <w:rsid w:val="00C07ACF"/>
    <w:rsid w:val="00C105EE"/>
    <w:rsid w:val="00C10F7B"/>
    <w:rsid w:val="00C1472F"/>
    <w:rsid w:val="00C21631"/>
    <w:rsid w:val="00C218EF"/>
    <w:rsid w:val="00C22C58"/>
    <w:rsid w:val="00C2518E"/>
    <w:rsid w:val="00C2657F"/>
    <w:rsid w:val="00C26780"/>
    <w:rsid w:val="00C27339"/>
    <w:rsid w:val="00C27B64"/>
    <w:rsid w:val="00C30134"/>
    <w:rsid w:val="00C3245A"/>
    <w:rsid w:val="00C32B7C"/>
    <w:rsid w:val="00C3367C"/>
    <w:rsid w:val="00C34B6E"/>
    <w:rsid w:val="00C37A40"/>
    <w:rsid w:val="00C40E3C"/>
    <w:rsid w:val="00C451A3"/>
    <w:rsid w:val="00C45DE8"/>
    <w:rsid w:val="00C51742"/>
    <w:rsid w:val="00C52854"/>
    <w:rsid w:val="00C532D2"/>
    <w:rsid w:val="00C53616"/>
    <w:rsid w:val="00C54578"/>
    <w:rsid w:val="00C57673"/>
    <w:rsid w:val="00C57DF9"/>
    <w:rsid w:val="00C614D1"/>
    <w:rsid w:val="00C646DA"/>
    <w:rsid w:val="00C64D10"/>
    <w:rsid w:val="00C669AC"/>
    <w:rsid w:val="00C67C02"/>
    <w:rsid w:val="00C71BD5"/>
    <w:rsid w:val="00C73050"/>
    <w:rsid w:val="00C73731"/>
    <w:rsid w:val="00C76E58"/>
    <w:rsid w:val="00C77529"/>
    <w:rsid w:val="00C80085"/>
    <w:rsid w:val="00C80756"/>
    <w:rsid w:val="00C81D60"/>
    <w:rsid w:val="00C821A0"/>
    <w:rsid w:val="00C846FA"/>
    <w:rsid w:val="00C85F36"/>
    <w:rsid w:val="00C863A7"/>
    <w:rsid w:val="00C867E7"/>
    <w:rsid w:val="00C86C9E"/>
    <w:rsid w:val="00C86E9B"/>
    <w:rsid w:val="00C87329"/>
    <w:rsid w:val="00C87CD5"/>
    <w:rsid w:val="00C94B36"/>
    <w:rsid w:val="00C9639E"/>
    <w:rsid w:val="00C970A7"/>
    <w:rsid w:val="00CA21EC"/>
    <w:rsid w:val="00CA3D9C"/>
    <w:rsid w:val="00CA6CEF"/>
    <w:rsid w:val="00CA7FDC"/>
    <w:rsid w:val="00CB1279"/>
    <w:rsid w:val="00CB32D8"/>
    <w:rsid w:val="00CB41F0"/>
    <w:rsid w:val="00CB4CA8"/>
    <w:rsid w:val="00CB7AB3"/>
    <w:rsid w:val="00CC122E"/>
    <w:rsid w:val="00CC228F"/>
    <w:rsid w:val="00CD242B"/>
    <w:rsid w:val="00CD4737"/>
    <w:rsid w:val="00CD70DF"/>
    <w:rsid w:val="00CE18BB"/>
    <w:rsid w:val="00CF1897"/>
    <w:rsid w:val="00CF1AFC"/>
    <w:rsid w:val="00CF7B55"/>
    <w:rsid w:val="00D0029B"/>
    <w:rsid w:val="00D05E44"/>
    <w:rsid w:val="00D0723E"/>
    <w:rsid w:val="00D1022B"/>
    <w:rsid w:val="00D10E09"/>
    <w:rsid w:val="00D11467"/>
    <w:rsid w:val="00D16F5F"/>
    <w:rsid w:val="00D21306"/>
    <w:rsid w:val="00D21A1D"/>
    <w:rsid w:val="00D22C4E"/>
    <w:rsid w:val="00D23031"/>
    <w:rsid w:val="00D23D2D"/>
    <w:rsid w:val="00D24E7D"/>
    <w:rsid w:val="00D26C93"/>
    <w:rsid w:val="00D27180"/>
    <w:rsid w:val="00D3346F"/>
    <w:rsid w:val="00D34A75"/>
    <w:rsid w:val="00D34B32"/>
    <w:rsid w:val="00D40937"/>
    <w:rsid w:val="00D41499"/>
    <w:rsid w:val="00D41A58"/>
    <w:rsid w:val="00D41F91"/>
    <w:rsid w:val="00D4373E"/>
    <w:rsid w:val="00D43C2B"/>
    <w:rsid w:val="00D43F4B"/>
    <w:rsid w:val="00D441C0"/>
    <w:rsid w:val="00D44EAF"/>
    <w:rsid w:val="00D46272"/>
    <w:rsid w:val="00D4688C"/>
    <w:rsid w:val="00D51175"/>
    <w:rsid w:val="00D53AF6"/>
    <w:rsid w:val="00D53DD0"/>
    <w:rsid w:val="00D55F43"/>
    <w:rsid w:val="00D5693A"/>
    <w:rsid w:val="00D5771D"/>
    <w:rsid w:val="00D61E77"/>
    <w:rsid w:val="00D639A2"/>
    <w:rsid w:val="00D63FC8"/>
    <w:rsid w:val="00D66C04"/>
    <w:rsid w:val="00D67057"/>
    <w:rsid w:val="00D7202F"/>
    <w:rsid w:val="00D72100"/>
    <w:rsid w:val="00D746B6"/>
    <w:rsid w:val="00D7502A"/>
    <w:rsid w:val="00D75BEB"/>
    <w:rsid w:val="00D827AE"/>
    <w:rsid w:val="00D87AB4"/>
    <w:rsid w:val="00D9354D"/>
    <w:rsid w:val="00D9387A"/>
    <w:rsid w:val="00D94F79"/>
    <w:rsid w:val="00D9614B"/>
    <w:rsid w:val="00DA4ADD"/>
    <w:rsid w:val="00DA57D5"/>
    <w:rsid w:val="00DA683F"/>
    <w:rsid w:val="00DB0079"/>
    <w:rsid w:val="00DB08C1"/>
    <w:rsid w:val="00DB0952"/>
    <w:rsid w:val="00DB2302"/>
    <w:rsid w:val="00DB2E19"/>
    <w:rsid w:val="00DB40CA"/>
    <w:rsid w:val="00DB68F9"/>
    <w:rsid w:val="00DB6CCE"/>
    <w:rsid w:val="00DC389D"/>
    <w:rsid w:val="00DC75B9"/>
    <w:rsid w:val="00DD39D6"/>
    <w:rsid w:val="00DD44FB"/>
    <w:rsid w:val="00DD4550"/>
    <w:rsid w:val="00DD467A"/>
    <w:rsid w:val="00DD7760"/>
    <w:rsid w:val="00DE17D4"/>
    <w:rsid w:val="00DE1A1A"/>
    <w:rsid w:val="00DE59D8"/>
    <w:rsid w:val="00DE7FF9"/>
    <w:rsid w:val="00DF182D"/>
    <w:rsid w:val="00DF277B"/>
    <w:rsid w:val="00DF53E0"/>
    <w:rsid w:val="00DF5A39"/>
    <w:rsid w:val="00DF6FB1"/>
    <w:rsid w:val="00E0202C"/>
    <w:rsid w:val="00E028F0"/>
    <w:rsid w:val="00E031E4"/>
    <w:rsid w:val="00E03245"/>
    <w:rsid w:val="00E03279"/>
    <w:rsid w:val="00E04E6C"/>
    <w:rsid w:val="00E05165"/>
    <w:rsid w:val="00E07069"/>
    <w:rsid w:val="00E07387"/>
    <w:rsid w:val="00E10B73"/>
    <w:rsid w:val="00E12F54"/>
    <w:rsid w:val="00E138C6"/>
    <w:rsid w:val="00E16A87"/>
    <w:rsid w:val="00E17088"/>
    <w:rsid w:val="00E17B04"/>
    <w:rsid w:val="00E200CF"/>
    <w:rsid w:val="00E22F17"/>
    <w:rsid w:val="00E22F93"/>
    <w:rsid w:val="00E272BB"/>
    <w:rsid w:val="00E27EAE"/>
    <w:rsid w:val="00E30070"/>
    <w:rsid w:val="00E302C4"/>
    <w:rsid w:val="00E31C13"/>
    <w:rsid w:val="00E365A6"/>
    <w:rsid w:val="00E400C1"/>
    <w:rsid w:val="00E42E35"/>
    <w:rsid w:val="00E43F35"/>
    <w:rsid w:val="00E442AB"/>
    <w:rsid w:val="00E4551B"/>
    <w:rsid w:val="00E455C9"/>
    <w:rsid w:val="00E51142"/>
    <w:rsid w:val="00E53E18"/>
    <w:rsid w:val="00E55542"/>
    <w:rsid w:val="00E55B6C"/>
    <w:rsid w:val="00E572C8"/>
    <w:rsid w:val="00E57620"/>
    <w:rsid w:val="00E57912"/>
    <w:rsid w:val="00E579ED"/>
    <w:rsid w:val="00E609D9"/>
    <w:rsid w:val="00E62457"/>
    <w:rsid w:val="00E629BF"/>
    <w:rsid w:val="00E654FE"/>
    <w:rsid w:val="00E70021"/>
    <w:rsid w:val="00E7308C"/>
    <w:rsid w:val="00E746BA"/>
    <w:rsid w:val="00E747B6"/>
    <w:rsid w:val="00E77E3F"/>
    <w:rsid w:val="00E80986"/>
    <w:rsid w:val="00E848DD"/>
    <w:rsid w:val="00E856C4"/>
    <w:rsid w:val="00E86329"/>
    <w:rsid w:val="00E911C0"/>
    <w:rsid w:val="00E92F80"/>
    <w:rsid w:val="00E930E9"/>
    <w:rsid w:val="00E94358"/>
    <w:rsid w:val="00E94613"/>
    <w:rsid w:val="00E97ED8"/>
    <w:rsid w:val="00EA076F"/>
    <w:rsid w:val="00EA1D68"/>
    <w:rsid w:val="00EA27C2"/>
    <w:rsid w:val="00EA5E04"/>
    <w:rsid w:val="00EA5EE9"/>
    <w:rsid w:val="00EB07C4"/>
    <w:rsid w:val="00EB29E0"/>
    <w:rsid w:val="00EB3A0A"/>
    <w:rsid w:val="00EB50F5"/>
    <w:rsid w:val="00EC0E66"/>
    <w:rsid w:val="00EC1CBA"/>
    <w:rsid w:val="00EC37C5"/>
    <w:rsid w:val="00EC4379"/>
    <w:rsid w:val="00EC7B65"/>
    <w:rsid w:val="00ED52E0"/>
    <w:rsid w:val="00ED67AF"/>
    <w:rsid w:val="00ED6D91"/>
    <w:rsid w:val="00ED6EC2"/>
    <w:rsid w:val="00EE1814"/>
    <w:rsid w:val="00EE5EB3"/>
    <w:rsid w:val="00EE7F87"/>
    <w:rsid w:val="00EF1530"/>
    <w:rsid w:val="00EF2D11"/>
    <w:rsid w:val="00EF4340"/>
    <w:rsid w:val="00EF4796"/>
    <w:rsid w:val="00EF59A8"/>
    <w:rsid w:val="00EF5C38"/>
    <w:rsid w:val="00EF7F33"/>
    <w:rsid w:val="00F02604"/>
    <w:rsid w:val="00F026FA"/>
    <w:rsid w:val="00F0356C"/>
    <w:rsid w:val="00F03FD2"/>
    <w:rsid w:val="00F07019"/>
    <w:rsid w:val="00F07C1D"/>
    <w:rsid w:val="00F07DAD"/>
    <w:rsid w:val="00F10A94"/>
    <w:rsid w:val="00F11300"/>
    <w:rsid w:val="00F11BAC"/>
    <w:rsid w:val="00F15725"/>
    <w:rsid w:val="00F17A69"/>
    <w:rsid w:val="00F17D77"/>
    <w:rsid w:val="00F201DA"/>
    <w:rsid w:val="00F20A8F"/>
    <w:rsid w:val="00F213A7"/>
    <w:rsid w:val="00F229BE"/>
    <w:rsid w:val="00F24926"/>
    <w:rsid w:val="00F25CFB"/>
    <w:rsid w:val="00F26D53"/>
    <w:rsid w:val="00F27164"/>
    <w:rsid w:val="00F305CF"/>
    <w:rsid w:val="00F316F8"/>
    <w:rsid w:val="00F31729"/>
    <w:rsid w:val="00F31C3F"/>
    <w:rsid w:val="00F35155"/>
    <w:rsid w:val="00F36DF7"/>
    <w:rsid w:val="00F3742E"/>
    <w:rsid w:val="00F374DB"/>
    <w:rsid w:val="00F403F7"/>
    <w:rsid w:val="00F40EC1"/>
    <w:rsid w:val="00F41B92"/>
    <w:rsid w:val="00F451F7"/>
    <w:rsid w:val="00F45AFE"/>
    <w:rsid w:val="00F52DDB"/>
    <w:rsid w:val="00F53A35"/>
    <w:rsid w:val="00F53FAE"/>
    <w:rsid w:val="00F542EF"/>
    <w:rsid w:val="00F551D9"/>
    <w:rsid w:val="00F562AD"/>
    <w:rsid w:val="00F61076"/>
    <w:rsid w:val="00F616A9"/>
    <w:rsid w:val="00F622F1"/>
    <w:rsid w:val="00F65E83"/>
    <w:rsid w:val="00F7122A"/>
    <w:rsid w:val="00F71B9E"/>
    <w:rsid w:val="00F81AC9"/>
    <w:rsid w:val="00F879DC"/>
    <w:rsid w:val="00F90315"/>
    <w:rsid w:val="00F918A4"/>
    <w:rsid w:val="00F95502"/>
    <w:rsid w:val="00F95612"/>
    <w:rsid w:val="00F9793E"/>
    <w:rsid w:val="00FA1D55"/>
    <w:rsid w:val="00FA37B8"/>
    <w:rsid w:val="00FA5C81"/>
    <w:rsid w:val="00FA7510"/>
    <w:rsid w:val="00FB049D"/>
    <w:rsid w:val="00FB073B"/>
    <w:rsid w:val="00FB1D2E"/>
    <w:rsid w:val="00FB2439"/>
    <w:rsid w:val="00FB254E"/>
    <w:rsid w:val="00FB45C6"/>
    <w:rsid w:val="00FB5EF1"/>
    <w:rsid w:val="00FB640C"/>
    <w:rsid w:val="00FC0A0E"/>
    <w:rsid w:val="00FC1489"/>
    <w:rsid w:val="00FC1FBD"/>
    <w:rsid w:val="00FC6805"/>
    <w:rsid w:val="00FD056F"/>
    <w:rsid w:val="00FD0679"/>
    <w:rsid w:val="00FD1996"/>
    <w:rsid w:val="00FD1FEF"/>
    <w:rsid w:val="00FD21BF"/>
    <w:rsid w:val="00FD4376"/>
    <w:rsid w:val="00FD4A2B"/>
    <w:rsid w:val="00FD4F1E"/>
    <w:rsid w:val="00FD7753"/>
    <w:rsid w:val="00FD79E8"/>
    <w:rsid w:val="00FE0338"/>
    <w:rsid w:val="00FE0E01"/>
    <w:rsid w:val="00FE531A"/>
    <w:rsid w:val="00FF0FAF"/>
    <w:rsid w:val="00FF203A"/>
    <w:rsid w:val="00FF41F2"/>
    <w:rsid w:val="00FF5FEA"/>
    <w:rsid w:val="00FF7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E8DFB8"/>
  <w15:chartTrackingRefBased/>
  <w15:docId w15:val="{AEA54B43-F3A6-4D09-BC59-7C3454CC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Arial"/>
      <w:sz w:val="24"/>
      <w:szCs w:val="24"/>
      <w:lang w:val="es-ES" w:eastAsia="es-ES"/>
    </w:rPr>
  </w:style>
  <w:style w:type="paragraph" w:styleId="Ttulo1">
    <w:name w:val="heading 1"/>
    <w:basedOn w:val="Normal"/>
    <w:next w:val="Normal"/>
    <w:link w:val="Ttulo1Car"/>
    <w:qFormat/>
    <w:rsid w:val="007122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rsid w:val="00C85F36"/>
    <w:pPr>
      <w:keepNext/>
      <w:autoSpaceDE/>
      <w:autoSpaceDN/>
      <w:adjustRightInd/>
      <w:jc w:val="center"/>
      <w:outlineLvl w:val="1"/>
    </w:pPr>
    <w:rPr>
      <w:rFonts w:eastAsia="Arial Unicode MS"/>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pPr>
      <w:spacing w:line="228" w:lineRule="exact"/>
      <w:jc w:val="both"/>
    </w:pPr>
  </w:style>
  <w:style w:type="paragraph" w:customStyle="1" w:styleId="Style5">
    <w:name w:val="Style5"/>
    <w:basedOn w:val="Normal"/>
    <w:pPr>
      <w:spacing w:line="229" w:lineRule="exact"/>
      <w:jc w:val="center"/>
    </w:pPr>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pPr>
      <w:spacing w:line="275" w:lineRule="exact"/>
      <w:jc w:val="both"/>
    </w:pPr>
  </w:style>
  <w:style w:type="paragraph" w:customStyle="1" w:styleId="Style9">
    <w:name w:val="Style9"/>
    <w:basedOn w:val="Normal"/>
  </w:style>
  <w:style w:type="character" w:customStyle="1" w:styleId="FontStyle11">
    <w:name w:val="Font Style11"/>
    <w:rPr>
      <w:rFonts w:ascii="Arial" w:hAnsi="Arial" w:cs="Arial"/>
      <w:b/>
      <w:bCs/>
      <w:spacing w:val="20"/>
      <w:sz w:val="10"/>
      <w:szCs w:val="10"/>
    </w:rPr>
  </w:style>
  <w:style w:type="character" w:customStyle="1" w:styleId="FontStyle12">
    <w:name w:val="Font Style12"/>
    <w:rPr>
      <w:rFonts w:ascii="Arial" w:hAnsi="Arial" w:cs="Arial"/>
      <w:b/>
      <w:bCs/>
      <w:sz w:val="22"/>
      <w:szCs w:val="22"/>
    </w:rPr>
  </w:style>
  <w:style w:type="character" w:customStyle="1" w:styleId="FontStyle13">
    <w:name w:val="Font Style13"/>
    <w:rPr>
      <w:rFonts w:ascii="Arial" w:hAnsi="Arial" w:cs="Arial"/>
      <w:sz w:val="22"/>
      <w:szCs w:val="22"/>
    </w:rPr>
  </w:style>
  <w:style w:type="character" w:customStyle="1" w:styleId="FontStyle14">
    <w:name w:val="Font Style14"/>
    <w:rPr>
      <w:rFonts w:ascii="Arial" w:hAnsi="Arial" w:cs="Arial"/>
      <w:i/>
      <w:iCs/>
      <w:sz w:val="18"/>
      <w:szCs w:val="18"/>
    </w:rPr>
  </w:style>
  <w:style w:type="character" w:customStyle="1" w:styleId="FontStyle15">
    <w:name w:val="Font Style15"/>
    <w:rPr>
      <w:rFonts w:ascii="Arial" w:hAnsi="Arial" w:cs="Arial"/>
      <w:b/>
      <w:bCs/>
      <w:i/>
      <w:iCs/>
      <w:sz w:val="18"/>
      <w:szCs w:val="18"/>
    </w:rPr>
  </w:style>
  <w:style w:type="character" w:customStyle="1" w:styleId="FontStyle16">
    <w:name w:val="Font Style16"/>
    <w:rPr>
      <w:rFonts w:ascii="Arial" w:hAnsi="Arial" w:cs="Arial"/>
      <w:sz w:val="18"/>
      <w:szCs w:val="18"/>
    </w:rPr>
  </w:style>
  <w:style w:type="character" w:styleId="Hipervnculo">
    <w:name w:val="Hyperlink"/>
    <w:rPr>
      <w:color w:val="648BCB"/>
      <w:u w:val="single"/>
    </w:rPr>
  </w:style>
  <w:style w:type="paragraph" w:customStyle="1" w:styleId="Style10">
    <w:name w:val="Style10"/>
    <w:basedOn w:val="Normal"/>
    <w:rsid w:val="00AC5584"/>
  </w:style>
  <w:style w:type="paragraph" w:customStyle="1" w:styleId="Style11">
    <w:name w:val="Style11"/>
    <w:basedOn w:val="Normal"/>
    <w:rsid w:val="00AC5584"/>
  </w:style>
  <w:style w:type="character" w:customStyle="1" w:styleId="FontStyle17">
    <w:name w:val="Font Style17"/>
    <w:rsid w:val="00AC5584"/>
    <w:rPr>
      <w:rFonts w:ascii="Arial" w:hAnsi="Arial" w:cs="Arial"/>
      <w:sz w:val="22"/>
      <w:szCs w:val="22"/>
    </w:rPr>
  </w:style>
  <w:style w:type="character" w:customStyle="1" w:styleId="FontStyle18">
    <w:name w:val="Font Style18"/>
    <w:rsid w:val="00AC5584"/>
    <w:rPr>
      <w:rFonts w:ascii="Arial" w:hAnsi="Arial" w:cs="Arial"/>
      <w:b/>
      <w:bCs/>
      <w:sz w:val="18"/>
      <w:szCs w:val="18"/>
    </w:rPr>
  </w:style>
  <w:style w:type="character" w:customStyle="1" w:styleId="FontStyle19">
    <w:name w:val="Font Style19"/>
    <w:rsid w:val="00AC5584"/>
    <w:rPr>
      <w:rFonts w:ascii="Arial" w:hAnsi="Arial" w:cs="Arial"/>
      <w:sz w:val="18"/>
      <w:szCs w:val="18"/>
    </w:rPr>
  </w:style>
  <w:style w:type="paragraph" w:styleId="Encabezado">
    <w:name w:val="header"/>
    <w:basedOn w:val="Normal"/>
    <w:link w:val="EncabezadoCar"/>
    <w:rsid w:val="00CE18BB"/>
    <w:pPr>
      <w:tabs>
        <w:tab w:val="center" w:pos="4419"/>
        <w:tab w:val="right" w:pos="8838"/>
      </w:tabs>
    </w:pPr>
  </w:style>
  <w:style w:type="character" w:customStyle="1" w:styleId="EncabezadoCar">
    <w:name w:val="Encabezado Car"/>
    <w:link w:val="Encabezado"/>
    <w:rsid w:val="00CE18BB"/>
    <w:rPr>
      <w:rFonts w:hAnsi="Arial"/>
      <w:sz w:val="24"/>
      <w:szCs w:val="24"/>
      <w:lang w:val="es-ES" w:eastAsia="es-ES"/>
    </w:rPr>
  </w:style>
  <w:style w:type="paragraph" w:styleId="Piedepgina">
    <w:name w:val="footer"/>
    <w:basedOn w:val="Normal"/>
    <w:link w:val="PiedepginaCar"/>
    <w:uiPriority w:val="99"/>
    <w:rsid w:val="00CE18BB"/>
    <w:pPr>
      <w:tabs>
        <w:tab w:val="center" w:pos="4419"/>
        <w:tab w:val="right" w:pos="8838"/>
      </w:tabs>
    </w:pPr>
  </w:style>
  <w:style w:type="character" w:customStyle="1" w:styleId="PiedepginaCar">
    <w:name w:val="Pie de página Car"/>
    <w:link w:val="Piedepgina"/>
    <w:uiPriority w:val="99"/>
    <w:rsid w:val="00CE18BB"/>
    <w:rPr>
      <w:rFonts w:hAnsi="Arial"/>
      <w:sz w:val="24"/>
      <w:szCs w:val="24"/>
      <w:lang w:val="es-ES" w:eastAsia="es-ES"/>
    </w:rPr>
  </w:style>
  <w:style w:type="paragraph" w:styleId="Textodeglobo">
    <w:name w:val="Balloon Text"/>
    <w:basedOn w:val="Normal"/>
    <w:link w:val="TextodegloboCar"/>
    <w:rsid w:val="00C87CD5"/>
    <w:rPr>
      <w:rFonts w:ascii="Tahoma" w:hAnsi="Tahoma" w:cs="Tahoma"/>
      <w:sz w:val="16"/>
      <w:szCs w:val="16"/>
    </w:rPr>
  </w:style>
  <w:style w:type="character" w:customStyle="1" w:styleId="TextodegloboCar">
    <w:name w:val="Texto de globo Car"/>
    <w:link w:val="Textodeglobo"/>
    <w:rsid w:val="00C87CD5"/>
    <w:rPr>
      <w:rFonts w:ascii="Tahoma" w:hAnsi="Tahoma" w:cs="Tahoma"/>
      <w:sz w:val="16"/>
      <w:szCs w:val="16"/>
      <w:lang w:val="es-ES" w:eastAsia="es-ES"/>
    </w:rPr>
  </w:style>
  <w:style w:type="character" w:customStyle="1" w:styleId="Ttulo2Car">
    <w:name w:val="Título 2 Car"/>
    <w:link w:val="Ttulo2"/>
    <w:semiHidden/>
    <w:rsid w:val="00C85F36"/>
    <w:rPr>
      <w:rFonts w:eastAsia="Arial Unicode MS" w:hAnsi="Arial"/>
      <w:b/>
      <w:sz w:val="24"/>
      <w:lang w:val="es-ES_tradnl" w:eastAsia="es-ES"/>
    </w:rPr>
  </w:style>
  <w:style w:type="paragraph" w:styleId="Prrafodelista">
    <w:name w:val="List Paragraph"/>
    <w:basedOn w:val="Normal"/>
    <w:link w:val="PrrafodelistaCar"/>
    <w:uiPriority w:val="34"/>
    <w:qFormat/>
    <w:rsid w:val="002A3F08"/>
    <w:pPr>
      <w:widowControl/>
      <w:autoSpaceDE/>
      <w:autoSpaceDN/>
      <w:adjustRightInd/>
      <w:ind w:left="708"/>
    </w:pPr>
    <w:rPr>
      <w:rFonts w:ascii="Times New Roman" w:hAnsi="Times New Roman"/>
      <w:szCs w:val="20"/>
    </w:rPr>
  </w:style>
  <w:style w:type="character" w:styleId="Refdecomentario">
    <w:name w:val="annotation reference"/>
    <w:uiPriority w:val="99"/>
    <w:rsid w:val="00914481"/>
    <w:rPr>
      <w:sz w:val="16"/>
      <w:szCs w:val="16"/>
    </w:rPr>
  </w:style>
  <w:style w:type="paragraph" w:styleId="Textocomentario">
    <w:name w:val="annotation text"/>
    <w:basedOn w:val="Normal"/>
    <w:link w:val="TextocomentarioCar"/>
    <w:uiPriority w:val="99"/>
    <w:rsid w:val="00914481"/>
    <w:rPr>
      <w:sz w:val="20"/>
      <w:szCs w:val="20"/>
    </w:rPr>
  </w:style>
  <w:style w:type="character" w:customStyle="1" w:styleId="TextocomentarioCar">
    <w:name w:val="Texto comentario Car"/>
    <w:link w:val="Textocomentario"/>
    <w:uiPriority w:val="99"/>
    <w:rsid w:val="00914481"/>
    <w:rPr>
      <w:rFonts w:hAnsi="Arial"/>
      <w:lang w:val="es-ES" w:eastAsia="es-ES"/>
    </w:rPr>
  </w:style>
  <w:style w:type="paragraph" w:styleId="Asuntodelcomentario">
    <w:name w:val="annotation subject"/>
    <w:basedOn w:val="Textocomentario"/>
    <w:next w:val="Textocomentario"/>
    <w:link w:val="AsuntodelcomentarioCar"/>
    <w:rsid w:val="00914481"/>
    <w:rPr>
      <w:b/>
      <w:bCs/>
    </w:rPr>
  </w:style>
  <w:style w:type="character" w:customStyle="1" w:styleId="AsuntodelcomentarioCar">
    <w:name w:val="Asunto del comentario Car"/>
    <w:link w:val="Asuntodelcomentario"/>
    <w:rsid w:val="00914481"/>
    <w:rPr>
      <w:rFonts w:hAnsi="Arial"/>
      <w:b/>
      <w:bCs/>
      <w:lang w:val="es-ES" w:eastAsia="es-ES"/>
    </w:rPr>
  </w:style>
  <w:style w:type="paragraph" w:customStyle="1" w:styleId="CONSIDERANDO">
    <w:name w:val="CONSIDERANDO"/>
    <w:basedOn w:val="Normal"/>
    <w:rsid w:val="004D43AC"/>
    <w:pPr>
      <w:widowControl/>
      <w:autoSpaceDE/>
      <w:autoSpaceDN/>
      <w:adjustRightInd/>
      <w:spacing w:before="120" w:after="120"/>
      <w:jc w:val="both"/>
      <w:outlineLvl w:val="0"/>
    </w:pPr>
    <w:rPr>
      <w:szCs w:val="20"/>
      <w:lang w:val="es-MX"/>
    </w:rPr>
  </w:style>
  <w:style w:type="paragraph" w:styleId="Revisin">
    <w:name w:val="Revision"/>
    <w:hidden/>
    <w:uiPriority w:val="99"/>
    <w:semiHidden/>
    <w:rsid w:val="00D41F91"/>
    <w:rPr>
      <w:rFonts w:hAnsi="Arial"/>
      <w:sz w:val="24"/>
      <w:szCs w:val="24"/>
      <w:lang w:val="es-ES" w:eastAsia="es-ES"/>
    </w:rPr>
  </w:style>
  <w:style w:type="table" w:styleId="Tablaconcuadrcula">
    <w:name w:val="Table Grid"/>
    <w:basedOn w:val="Tablanormal"/>
    <w:uiPriority w:val="39"/>
    <w:rsid w:val="006F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2052D4"/>
    <w:pPr>
      <w:widowControl/>
      <w:autoSpaceDE/>
      <w:autoSpaceDN/>
      <w:adjustRightInd/>
      <w:jc w:val="center"/>
    </w:pPr>
    <w:rPr>
      <w:b/>
      <w:sz w:val="28"/>
      <w:szCs w:val="20"/>
      <w:lang w:val="es-ES_tradnl"/>
    </w:rPr>
  </w:style>
  <w:style w:type="character" w:customStyle="1" w:styleId="Ttulo1Car">
    <w:name w:val="Título 1 Car"/>
    <w:basedOn w:val="Fuentedeprrafopredeter"/>
    <w:link w:val="Ttulo1"/>
    <w:rsid w:val="00712225"/>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082823"/>
    <w:pPr>
      <w:autoSpaceDE w:val="0"/>
      <w:autoSpaceDN w:val="0"/>
      <w:adjustRightInd w:val="0"/>
    </w:pPr>
    <w:rPr>
      <w:rFonts w:ascii="Calibri" w:hAnsi="Calibri" w:cs="Calibri"/>
      <w:color w:val="000000"/>
      <w:sz w:val="24"/>
      <w:szCs w:val="24"/>
    </w:rPr>
  </w:style>
  <w:style w:type="paragraph" w:customStyle="1" w:styleId="Texto">
    <w:name w:val="Texto"/>
    <w:basedOn w:val="Normal"/>
    <w:link w:val="TextoCar"/>
    <w:rsid w:val="000E6FB1"/>
    <w:pPr>
      <w:widowControl/>
      <w:autoSpaceDE/>
      <w:autoSpaceDN/>
      <w:adjustRightInd/>
      <w:spacing w:after="101" w:line="216" w:lineRule="exact"/>
      <w:ind w:firstLine="288"/>
      <w:jc w:val="both"/>
    </w:pPr>
    <w:rPr>
      <w:rFonts w:cs="Arial"/>
      <w:sz w:val="18"/>
      <w:szCs w:val="20"/>
    </w:rPr>
  </w:style>
  <w:style w:type="character" w:customStyle="1" w:styleId="TextoCar">
    <w:name w:val="Texto Car"/>
    <w:link w:val="Texto"/>
    <w:locked/>
    <w:rsid w:val="000E6FB1"/>
    <w:rPr>
      <w:rFonts w:hAnsi="Arial" w:cs="Arial"/>
      <w:sz w:val="18"/>
      <w:lang w:val="es-ES" w:eastAsia="es-ES"/>
    </w:rPr>
  </w:style>
  <w:style w:type="character" w:customStyle="1" w:styleId="PrrafodelistaCar">
    <w:name w:val="Párrafo de lista Car"/>
    <w:basedOn w:val="Fuentedeprrafopredeter"/>
    <w:link w:val="Prrafodelista"/>
    <w:uiPriority w:val="34"/>
    <w:rsid w:val="00E028F0"/>
    <w:rPr>
      <w:rFonts w:asci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042">
      <w:bodyDiv w:val="1"/>
      <w:marLeft w:val="0"/>
      <w:marRight w:val="0"/>
      <w:marTop w:val="0"/>
      <w:marBottom w:val="0"/>
      <w:divBdr>
        <w:top w:val="none" w:sz="0" w:space="0" w:color="auto"/>
        <w:left w:val="none" w:sz="0" w:space="0" w:color="auto"/>
        <w:bottom w:val="none" w:sz="0" w:space="0" w:color="auto"/>
        <w:right w:val="none" w:sz="0" w:space="0" w:color="auto"/>
      </w:divBdr>
    </w:div>
    <w:div w:id="95642942">
      <w:bodyDiv w:val="1"/>
      <w:marLeft w:val="0"/>
      <w:marRight w:val="0"/>
      <w:marTop w:val="0"/>
      <w:marBottom w:val="0"/>
      <w:divBdr>
        <w:top w:val="none" w:sz="0" w:space="0" w:color="auto"/>
        <w:left w:val="none" w:sz="0" w:space="0" w:color="auto"/>
        <w:bottom w:val="none" w:sz="0" w:space="0" w:color="auto"/>
        <w:right w:val="none" w:sz="0" w:space="0" w:color="auto"/>
      </w:divBdr>
    </w:div>
    <w:div w:id="259876159">
      <w:bodyDiv w:val="1"/>
      <w:marLeft w:val="0"/>
      <w:marRight w:val="0"/>
      <w:marTop w:val="0"/>
      <w:marBottom w:val="0"/>
      <w:divBdr>
        <w:top w:val="none" w:sz="0" w:space="0" w:color="auto"/>
        <w:left w:val="none" w:sz="0" w:space="0" w:color="auto"/>
        <w:bottom w:val="none" w:sz="0" w:space="0" w:color="auto"/>
        <w:right w:val="none" w:sz="0" w:space="0" w:color="auto"/>
      </w:divBdr>
    </w:div>
    <w:div w:id="342245264">
      <w:bodyDiv w:val="1"/>
      <w:marLeft w:val="0"/>
      <w:marRight w:val="0"/>
      <w:marTop w:val="0"/>
      <w:marBottom w:val="0"/>
      <w:divBdr>
        <w:top w:val="none" w:sz="0" w:space="0" w:color="auto"/>
        <w:left w:val="none" w:sz="0" w:space="0" w:color="auto"/>
        <w:bottom w:val="none" w:sz="0" w:space="0" w:color="auto"/>
        <w:right w:val="none" w:sz="0" w:space="0" w:color="auto"/>
      </w:divBdr>
    </w:div>
    <w:div w:id="556934621">
      <w:bodyDiv w:val="1"/>
      <w:marLeft w:val="0"/>
      <w:marRight w:val="0"/>
      <w:marTop w:val="0"/>
      <w:marBottom w:val="0"/>
      <w:divBdr>
        <w:top w:val="none" w:sz="0" w:space="0" w:color="auto"/>
        <w:left w:val="none" w:sz="0" w:space="0" w:color="auto"/>
        <w:bottom w:val="none" w:sz="0" w:space="0" w:color="auto"/>
        <w:right w:val="none" w:sz="0" w:space="0" w:color="auto"/>
      </w:divBdr>
    </w:div>
    <w:div w:id="621423218">
      <w:bodyDiv w:val="1"/>
      <w:marLeft w:val="0"/>
      <w:marRight w:val="0"/>
      <w:marTop w:val="0"/>
      <w:marBottom w:val="0"/>
      <w:divBdr>
        <w:top w:val="none" w:sz="0" w:space="0" w:color="auto"/>
        <w:left w:val="none" w:sz="0" w:space="0" w:color="auto"/>
        <w:bottom w:val="none" w:sz="0" w:space="0" w:color="auto"/>
        <w:right w:val="none" w:sz="0" w:space="0" w:color="auto"/>
      </w:divBdr>
    </w:div>
    <w:div w:id="639116045">
      <w:bodyDiv w:val="1"/>
      <w:marLeft w:val="0"/>
      <w:marRight w:val="0"/>
      <w:marTop w:val="0"/>
      <w:marBottom w:val="0"/>
      <w:divBdr>
        <w:top w:val="none" w:sz="0" w:space="0" w:color="auto"/>
        <w:left w:val="none" w:sz="0" w:space="0" w:color="auto"/>
        <w:bottom w:val="none" w:sz="0" w:space="0" w:color="auto"/>
        <w:right w:val="none" w:sz="0" w:space="0" w:color="auto"/>
      </w:divBdr>
    </w:div>
    <w:div w:id="677659301">
      <w:bodyDiv w:val="1"/>
      <w:marLeft w:val="0"/>
      <w:marRight w:val="0"/>
      <w:marTop w:val="0"/>
      <w:marBottom w:val="0"/>
      <w:divBdr>
        <w:top w:val="none" w:sz="0" w:space="0" w:color="auto"/>
        <w:left w:val="none" w:sz="0" w:space="0" w:color="auto"/>
        <w:bottom w:val="none" w:sz="0" w:space="0" w:color="auto"/>
        <w:right w:val="none" w:sz="0" w:space="0" w:color="auto"/>
      </w:divBdr>
      <w:divsChild>
        <w:div w:id="1798990020">
          <w:marLeft w:val="1440"/>
          <w:marRight w:val="1008"/>
          <w:marTop w:val="0"/>
          <w:marBottom w:val="60"/>
          <w:divBdr>
            <w:top w:val="none" w:sz="0" w:space="0" w:color="auto"/>
            <w:left w:val="none" w:sz="0" w:space="0" w:color="auto"/>
            <w:bottom w:val="none" w:sz="0" w:space="0" w:color="auto"/>
            <w:right w:val="none" w:sz="0" w:space="0" w:color="auto"/>
          </w:divBdr>
        </w:div>
        <w:div w:id="1332023542">
          <w:marLeft w:val="1440"/>
          <w:marRight w:val="1008"/>
          <w:marTop w:val="0"/>
          <w:marBottom w:val="60"/>
          <w:divBdr>
            <w:top w:val="none" w:sz="0" w:space="0" w:color="auto"/>
            <w:left w:val="none" w:sz="0" w:space="0" w:color="auto"/>
            <w:bottom w:val="none" w:sz="0" w:space="0" w:color="auto"/>
            <w:right w:val="none" w:sz="0" w:space="0" w:color="auto"/>
          </w:divBdr>
        </w:div>
      </w:divsChild>
    </w:div>
    <w:div w:id="700741533">
      <w:bodyDiv w:val="1"/>
      <w:marLeft w:val="0"/>
      <w:marRight w:val="0"/>
      <w:marTop w:val="0"/>
      <w:marBottom w:val="0"/>
      <w:divBdr>
        <w:top w:val="none" w:sz="0" w:space="0" w:color="auto"/>
        <w:left w:val="none" w:sz="0" w:space="0" w:color="auto"/>
        <w:bottom w:val="none" w:sz="0" w:space="0" w:color="auto"/>
        <w:right w:val="none" w:sz="0" w:space="0" w:color="auto"/>
      </w:divBdr>
    </w:div>
    <w:div w:id="963119472">
      <w:bodyDiv w:val="1"/>
      <w:marLeft w:val="0"/>
      <w:marRight w:val="0"/>
      <w:marTop w:val="0"/>
      <w:marBottom w:val="0"/>
      <w:divBdr>
        <w:top w:val="none" w:sz="0" w:space="0" w:color="auto"/>
        <w:left w:val="none" w:sz="0" w:space="0" w:color="auto"/>
        <w:bottom w:val="none" w:sz="0" w:space="0" w:color="auto"/>
        <w:right w:val="none" w:sz="0" w:space="0" w:color="auto"/>
      </w:divBdr>
    </w:div>
    <w:div w:id="985013699">
      <w:bodyDiv w:val="1"/>
      <w:marLeft w:val="0"/>
      <w:marRight w:val="0"/>
      <w:marTop w:val="0"/>
      <w:marBottom w:val="0"/>
      <w:divBdr>
        <w:top w:val="none" w:sz="0" w:space="0" w:color="auto"/>
        <w:left w:val="none" w:sz="0" w:space="0" w:color="auto"/>
        <w:bottom w:val="none" w:sz="0" w:space="0" w:color="auto"/>
        <w:right w:val="none" w:sz="0" w:space="0" w:color="auto"/>
      </w:divBdr>
    </w:div>
    <w:div w:id="1002664440">
      <w:bodyDiv w:val="1"/>
      <w:marLeft w:val="0"/>
      <w:marRight w:val="0"/>
      <w:marTop w:val="0"/>
      <w:marBottom w:val="0"/>
      <w:divBdr>
        <w:top w:val="none" w:sz="0" w:space="0" w:color="auto"/>
        <w:left w:val="none" w:sz="0" w:space="0" w:color="auto"/>
        <w:bottom w:val="none" w:sz="0" w:space="0" w:color="auto"/>
        <w:right w:val="none" w:sz="0" w:space="0" w:color="auto"/>
      </w:divBdr>
    </w:div>
    <w:div w:id="1045062763">
      <w:bodyDiv w:val="1"/>
      <w:marLeft w:val="0"/>
      <w:marRight w:val="0"/>
      <w:marTop w:val="0"/>
      <w:marBottom w:val="0"/>
      <w:divBdr>
        <w:top w:val="none" w:sz="0" w:space="0" w:color="auto"/>
        <w:left w:val="none" w:sz="0" w:space="0" w:color="auto"/>
        <w:bottom w:val="none" w:sz="0" w:space="0" w:color="auto"/>
        <w:right w:val="none" w:sz="0" w:space="0" w:color="auto"/>
      </w:divBdr>
    </w:div>
    <w:div w:id="1192721591">
      <w:bodyDiv w:val="1"/>
      <w:marLeft w:val="0"/>
      <w:marRight w:val="0"/>
      <w:marTop w:val="0"/>
      <w:marBottom w:val="0"/>
      <w:divBdr>
        <w:top w:val="none" w:sz="0" w:space="0" w:color="auto"/>
        <w:left w:val="none" w:sz="0" w:space="0" w:color="auto"/>
        <w:bottom w:val="none" w:sz="0" w:space="0" w:color="auto"/>
        <w:right w:val="none" w:sz="0" w:space="0" w:color="auto"/>
      </w:divBdr>
    </w:div>
    <w:div w:id="1426075086">
      <w:bodyDiv w:val="1"/>
      <w:marLeft w:val="0"/>
      <w:marRight w:val="0"/>
      <w:marTop w:val="0"/>
      <w:marBottom w:val="0"/>
      <w:divBdr>
        <w:top w:val="none" w:sz="0" w:space="0" w:color="auto"/>
        <w:left w:val="none" w:sz="0" w:space="0" w:color="auto"/>
        <w:bottom w:val="none" w:sz="0" w:space="0" w:color="auto"/>
        <w:right w:val="none" w:sz="0" w:space="0" w:color="auto"/>
      </w:divBdr>
    </w:div>
    <w:div w:id="1550604545">
      <w:bodyDiv w:val="1"/>
      <w:marLeft w:val="0"/>
      <w:marRight w:val="0"/>
      <w:marTop w:val="0"/>
      <w:marBottom w:val="0"/>
      <w:divBdr>
        <w:top w:val="none" w:sz="0" w:space="0" w:color="auto"/>
        <w:left w:val="none" w:sz="0" w:space="0" w:color="auto"/>
        <w:bottom w:val="none" w:sz="0" w:space="0" w:color="auto"/>
        <w:right w:val="none" w:sz="0" w:space="0" w:color="auto"/>
      </w:divBdr>
    </w:div>
    <w:div w:id="1703825493">
      <w:bodyDiv w:val="1"/>
      <w:marLeft w:val="0"/>
      <w:marRight w:val="0"/>
      <w:marTop w:val="0"/>
      <w:marBottom w:val="0"/>
      <w:divBdr>
        <w:top w:val="none" w:sz="0" w:space="0" w:color="auto"/>
        <w:left w:val="none" w:sz="0" w:space="0" w:color="auto"/>
        <w:bottom w:val="none" w:sz="0" w:space="0" w:color="auto"/>
        <w:right w:val="none" w:sz="0" w:space="0" w:color="auto"/>
      </w:divBdr>
      <w:divsChild>
        <w:div w:id="177500458">
          <w:marLeft w:val="1440"/>
          <w:marRight w:val="1008"/>
          <w:marTop w:val="0"/>
          <w:marBottom w:val="60"/>
          <w:divBdr>
            <w:top w:val="none" w:sz="0" w:space="0" w:color="auto"/>
            <w:left w:val="none" w:sz="0" w:space="0" w:color="auto"/>
            <w:bottom w:val="none" w:sz="0" w:space="0" w:color="auto"/>
            <w:right w:val="none" w:sz="0" w:space="0" w:color="auto"/>
          </w:divBdr>
        </w:div>
        <w:div w:id="231819665">
          <w:marLeft w:val="1440"/>
          <w:marRight w:val="1008"/>
          <w:marTop w:val="0"/>
          <w:marBottom w:val="60"/>
          <w:divBdr>
            <w:top w:val="none" w:sz="0" w:space="0" w:color="auto"/>
            <w:left w:val="none" w:sz="0" w:space="0" w:color="auto"/>
            <w:bottom w:val="none" w:sz="0" w:space="0" w:color="auto"/>
            <w:right w:val="none" w:sz="0" w:space="0" w:color="auto"/>
          </w:divBdr>
        </w:div>
      </w:divsChild>
    </w:div>
    <w:div w:id="1705058860">
      <w:bodyDiv w:val="1"/>
      <w:marLeft w:val="0"/>
      <w:marRight w:val="0"/>
      <w:marTop w:val="0"/>
      <w:marBottom w:val="0"/>
      <w:divBdr>
        <w:top w:val="none" w:sz="0" w:space="0" w:color="auto"/>
        <w:left w:val="none" w:sz="0" w:space="0" w:color="auto"/>
        <w:bottom w:val="none" w:sz="0" w:space="0" w:color="auto"/>
        <w:right w:val="none" w:sz="0" w:space="0" w:color="auto"/>
      </w:divBdr>
    </w:div>
    <w:div w:id="2089107799">
      <w:bodyDiv w:val="1"/>
      <w:marLeft w:val="0"/>
      <w:marRight w:val="0"/>
      <w:marTop w:val="0"/>
      <w:marBottom w:val="0"/>
      <w:divBdr>
        <w:top w:val="none" w:sz="0" w:space="0" w:color="auto"/>
        <w:left w:val="none" w:sz="0" w:space="0" w:color="auto"/>
        <w:bottom w:val="none" w:sz="0" w:space="0" w:color="auto"/>
        <w:right w:val="none" w:sz="0" w:space="0" w:color="auto"/>
      </w:divBdr>
    </w:div>
    <w:div w:id="21226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C200-8EA6-42BB-8309-0CFE3F75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2468</Words>
  <Characters>13576</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CRE</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CRE9</dc:creator>
  <cp:keywords/>
  <cp:lastModifiedBy>Alejandro Esparza Perez</cp:lastModifiedBy>
  <cp:revision>4</cp:revision>
  <cp:lastPrinted>2016-11-23T19:34:00Z</cp:lastPrinted>
  <dcterms:created xsi:type="dcterms:W3CDTF">2017-07-21T21:02:00Z</dcterms:created>
  <dcterms:modified xsi:type="dcterms:W3CDTF">2017-07-21T21:35:00Z</dcterms:modified>
</cp:coreProperties>
</file>