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22" w:rsidRPr="00217855" w:rsidRDefault="00CD4422" w:rsidP="004D47F6">
      <w:pPr>
        <w:spacing w:line="240" w:lineRule="auto"/>
        <w:jc w:val="both"/>
        <w:rPr>
          <w:rFonts w:ascii="Arial" w:hAnsi="Arial" w:cs="Arial"/>
        </w:rPr>
      </w:pPr>
      <w:r w:rsidRPr="00217855">
        <w:rPr>
          <w:rFonts w:ascii="Arial" w:hAnsi="Arial" w:cs="Arial"/>
          <w:b/>
        </w:rPr>
        <w:t>MARÍA DEL ROSARIO ROBLES BERLANGA,</w:t>
      </w:r>
      <w:r w:rsidRPr="00217855">
        <w:rPr>
          <w:rFonts w:ascii="Arial" w:hAnsi="Arial" w:cs="Arial"/>
        </w:rPr>
        <w:t xml:space="preserve"> Secretaria de Desarrollo Agrario, Territorial y Urbano, con fundamento en los artículos</w:t>
      </w:r>
      <w:r w:rsidR="004B5D82" w:rsidRPr="00217855">
        <w:rPr>
          <w:rFonts w:ascii="Arial" w:hAnsi="Arial" w:cs="Arial"/>
        </w:rPr>
        <w:t xml:space="preserve"> 8</w:t>
      </w:r>
      <w:r w:rsidR="00855016" w:rsidRPr="00217855">
        <w:rPr>
          <w:rFonts w:ascii="Arial" w:hAnsi="Arial" w:cs="Arial"/>
        </w:rPr>
        <w:t>°</w:t>
      </w:r>
      <w:r w:rsidR="004B5D82" w:rsidRPr="00217855">
        <w:rPr>
          <w:rFonts w:ascii="Arial" w:hAnsi="Arial" w:cs="Arial"/>
        </w:rPr>
        <w:t xml:space="preserve"> fracción XXVI</w:t>
      </w:r>
      <w:r w:rsidR="00BD6B0D" w:rsidRPr="00217855">
        <w:rPr>
          <w:rFonts w:ascii="Arial" w:hAnsi="Arial" w:cs="Arial"/>
        </w:rPr>
        <w:t>, 104, 105, 106 y 107</w:t>
      </w:r>
      <w:r w:rsidR="004B5D82" w:rsidRPr="00217855">
        <w:rPr>
          <w:rFonts w:ascii="Arial" w:hAnsi="Arial" w:cs="Arial"/>
        </w:rPr>
        <w:t xml:space="preserve"> de la Ley General de Asentamientos Humanos, Ordenamiento </w:t>
      </w:r>
      <w:r w:rsidR="004D47F6" w:rsidRPr="00217855">
        <w:rPr>
          <w:rFonts w:ascii="Arial" w:hAnsi="Arial" w:cs="Arial"/>
        </w:rPr>
        <w:t>Territorial y Desarrollo Urbano;</w:t>
      </w:r>
      <w:r w:rsidR="004B5D82" w:rsidRPr="00217855">
        <w:rPr>
          <w:rFonts w:ascii="Arial" w:hAnsi="Arial" w:cs="Arial"/>
        </w:rPr>
        <w:t xml:space="preserve"> </w:t>
      </w:r>
      <w:r w:rsidRPr="00217855">
        <w:rPr>
          <w:rFonts w:ascii="Arial" w:hAnsi="Arial" w:cs="Arial"/>
        </w:rPr>
        <w:t>41 fracciones I</w:t>
      </w:r>
      <w:r w:rsidR="004B5D82" w:rsidRPr="00217855">
        <w:rPr>
          <w:rFonts w:ascii="Arial" w:hAnsi="Arial" w:cs="Arial"/>
        </w:rPr>
        <w:t xml:space="preserve"> y XXIII</w:t>
      </w:r>
      <w:r w:rsidRPr="00217855">
        <w:rPr>
          <w:rFonts w:ascii="Arial" w:hAnsi="Arial" w:cs="Arial"/>
        </w:rPr>
        <w:t xml:space="preserve"> de la Ley Orgánica de la Administración Pública Federal;</w:t>
      </w:r>
      <w:r w:rsidR="00FB331C" w:rsidRPr="00217855">
        <w:rPr>
          <w:rFonts w:ascii="Arial" w:hAnsi="Arial" w:cs="Arial"/>
        </w:rPr>
        <w:t xml:space="preserve"> 5</w:t>
      </w:r>
      <w:r w:rsidR="00BE406C">
        <w:rPr>
          <w:rFonts w:ascii="Arial" w:hAnsi="Arial" w:cs="Arial"/>
        </w:rPr>
        <w:t>°</w:t>
      </w:r>
      <w:r w:rsidR="00FB331C" w:rsidRPr="00217855">
        <w:rPr>
          <w:rFonts w:ascii="Arial" w:hAnsi="Arial" w:cs="Arial"/>
        </w:rPr>
        <w:t xml:space="preserve"> de la Ley Federal de Procedimiento Administrativo</w:t>
      </w:r>
      <w:r w:rsidR="00855016" w:rsidRPr="00217855">
        <w:rPr>
          <w:rFonts w:ascii="Arial" w:hAnsi="Arial" w:cs="Arial"/>
        </w:rPr>
        <w:t xml:space="preserve">; </w:t>
      </w:r>
      <w:r w:rsidRPr="00217855">
        <w:rPr>
          <w:rFonts w:ascii="Arial" w:hAnsi="Arial" w:cs="Arial"/>
        </w:rPr>
        <w:t xml:space="preserve"> </w:t>
      </w:r>
      <w:r w:rsidR="0046737F" w:rsidRPr="00217855">
        <w:rPr>
          <w:rFonts w:ascii="Arial" w:hAnsi="Arial" w:cs="Arial"/>
        </w:rPr>
        <w:t>5</w:t>
      </w:r>
      <w:r w:rsidR="00855016" w:rsidRPr="00217855">
        <w:rPr>
          <w:rFonts w:ascii="Arial" w:hAnsi="Arial" w:cs="Arial"/>
        </w:rPr>
        <w:t>°</w:t>
      </w:r>
      <w:r w:rsidR="0046737F" w:rsidRPr="00217855">
        <w:rPr>
          <w:rFonts w:ascii="Arial" w:hAnsi="Arial" w:cs="Arial"/>
        </w:rPr>
        <w:t xml:space="preserve"> </w:t>
      </w:r>
      <w:r w:rsidR="00855016" w:rsidRPr="00217855">
        <w:rPr>
          <w:rFonts w:ascii="Arial" w:hAnsi="Arial" w:cs="Arial"/>
        </w:rPr>
        <w:t xml:space="preserve">y 6° fracción XVI, </w:t>
      </w:r>
      <w:r w:rsidRPr="00217855">
        <w:rPr>
          <w:rFonts w:ascii="Arial" w:hAnsi="Arial" w:cs="Arial"/>
        </w:rPr>
        <w:t>del Reglamento Interior de la Secretaría de Desarrollo Agrario, Territorial y Urbano, y</w:t>
      </w:r>
    </w:p>
    <w:p w:rsidR="00CD4422" w:rsidRPr="00217855" w:rsidRDefault="00CD4422" w:rsidP="00CD4422">
      <w:pPr>
        <w:jc w:val="center"/>
        <w:rPr>
          <w:rFonts w:ascii="Arial" w:hAnsi="Arial" w:cs="Arial"/>
          <w:b/>
        </w:rPr>
      </w:pPr>
      <w:r w:rsidRPr="00217855">
        <w:rPr>
          <w:rFonts w:ascii="Arial" w:hAnsi="Arial" w:cs="Arial"/>
          <w:b/>
        </w:rPr>
        <w:t>CONSIDERANDO</w:t>
      </w:r>
    </w:p>
    <w:p w:rsidR="004D47F6" w:rsidRPr="00217855" w:rsidRDefault="00CD4422" w:rsidP="00CD4422">
      <w:pPr>
        <w:pStyle w:val="Default"/>
        <w:jc w:val="both"/>
        <w:rPr>
          <w:color w:val="000000" w:themeColor="text1"/>
          <w:sz w:val="22"/>
          <w:szCs w:val="22"/>
        </w:rPr>
      </w:pPr>
      <w:r w:rsidRPr="00835632">
        <w:rPr>
          <w:b/>
          <w:color w:val="000000" w:themeColor="text1"/>
          <w:sz w:val="22"/>
          <w:szCs w:val="22"/>
        </w:rPr>
        <w:t>I.</w:t>
      </w:r>
      <w:r w:rsidRPr="00217855">
        <w:rPr>
          <w:color w:val="000000" w:themeColor="text1"/>
          <w:sz w:val="22"/>
          <w:szCs w:val="22"/>
        </w:rPr>
        <w:t xml:space="preserve"> </w:t>
      </w:r>
      <w:r w:rsidR="00BD6B0D" w:rsidRPr="00217855">
        <w:rPr>
          <w:color w:val="000000" w:themeColor="text1"/>
          <w:sz w:val="22"/>
          <w:szCs w:val="22"/>
        </w:rPr>
        <w:t>Que la Secretaría de Desarrollo Agrario</w:t>
      </w:r>
      <w:r w:rsidR="00BE406C">
        <w:rPr>
          <w:color w:val="000000" w:themeColor="text1"/>
          <w:sz w:val="22"/>
          <w:szCs w:val="22"/>
        </w:rPr>
        <w:t>,</w:t>
      </w:r>
      <w:r w:rsidR="00BD6B0D" w:rsidRPr="00217855">
        <w:rPr>
          <w:color w:val="000000" w:themeColor="text1"/>
          <w:sz w:val="22"/>
          <w:szCs w:val="22"/>
        </w:rPr>
        <w:t xml:space="preserve"> Territorial y Urbano y su sector coordinado y agrupado, se encuentran facultados para procurar, promover, respetar, proteger, garantizar, y tomar las medidas necesarias para el pleno ejercicio de los derechos humanos relacionados con el ordenamiento territorial</w:t>
      </w:r>
      <w:r w:rsidR="006F5996" w:rsidRPr="00217855">
        <w:rPr>
          <w:color w:val="000000" w:themeColor="text1"/>
          <w:sz w:val="22"/>
          <w:szCs w:val="22"/>
        </w:rPr>
        <w:t>.</w:t>
      </w:r>
    </w:p>
    <w:p w:rsidR="004D47F6" w:rsidRPr="00217855" w:rsidRDefault="004D47F6" w:rsidP="00CD4422">
      <w:pPr>
        <w:pStyle w:val="Default"/>
        <w:jc w:val="both"/>
        <w:rPr>
          <w:color w:val="000000" w:themeColor="text1"/>
          <w:sz w:val="22"/>
          <w:szCs w:val="22"/>
        </w:rPr>
      </w:pPr>
    </w:p>
    <w:p w:rsidR="00CD4422" w:rsidRPr="00217855" w:rsidRDefault="004D47F6" w:rsidP="004D47F6">
      <w:pPr>
        <w:pStyle w:val="Default"/>
        <w:jc w:val="both"/>
        <w:rPr>
          <w:color w:val="000000" w:themeColor="text1"/>
          <w:sz w:val="22"/>
          <w:szCs w:val="22"/>
        </w:rPr>
      </w:pPr>
      <w:r w:rsidRPr="00835632">
        <w:rPr>
          <w:b/>
          <w:color w:val="000000" w:themeColor="text1"/>
          <w:sz w:val="22"/>
          <w:szCs w:val="22"/>
        </w:rPr>
        <w:t>II.</w:t>
      </w:r>
      <w:r w:rsidRPr="00217855">
        <w:rPr>
          <w:color w:val="000000" w:themeColor="text1"/>
          <w:sz w:val="22"/>
          <w:szCs w:val="22"/>
        </w:rPr>
        <w:t xml:space="preserve"> Que el </w:t>
      </w:r>
      <w:r w:rsidR="00913DAF">
        <w:rPr>
          <w:color w:val="000000" w:themeColor="text1"/>
          <w:sz w:val="22"/>
          <w:szCs w:val="22"/>
        </w:rPr>
        <w:t xml:space="preserve">principio de </w:t>
      </w:r>
      <w:r w:rsidR="00E94977" w:rsidRPr="00217855">
        <w:rPr>
          <w:color w:val="000000" w:themeColor="text1"/>
          <w:sz w:val="22"/>
          <w:szCs w:val="22"/>
        </w:rPr>
        <w:t>d</w:t>
      </w:r>
      <w:r w:rsidRPr="00217855">
        <w:rPr>
          <w:color w:val="000000" w:themeColor="text1"/>
          <w:sz w:val="22"/>
          <w:szCs w:val="22"/>
        </w:rPr>
        <w:t>erecho a la ciudad</w:t>
      </w:r>
      <w:r w:rsidR="00BE406C">
        <w:rPr>
          <w:color w:val="000000" w:themeColor="text1"/>
          <w:sz w:val="22"/>
          <w:szCs w:val="22"/>
        </w:rPr>
        <w:t>,</w:t>
      </w:r>
      <w:r w:rsidR="00913DAF">
        <w:rPr>
          <w:color w:val="000000" w:themeColor="text1"/>
          <w:sz w:val="22"/>
          <w:szCs w:val="22"/>
        </w:rPr>
        <w:t xml:space="preserve"> previsto en la Ley General de Asentamientos Humanos, Ordenamiento Territorial y Desarrollo Urbano</w:t>
      </w:r>
      <w:r w:rsidR="00705A17">
        <w:rPr>
          <w:color w:val="000000" w:themeColor="text1"/>
          <w:sz w:val="22"/>
          <w:szCs w:val="22"/>
        </w:rPr>
        <w:t>,</w:t>
      </w:r>
      <w:r w:rsidR="00913DAF">
        <w:rPr>
          <w:color w:val="000000" w:themeColor="text1"/>
          <w:sz w:val="22"/>
          <w:szCs w:val="22"/>
        </w:rPr>
        <w:t xml:space="preserve"> manifiesta que éste</w:t>
      </w:r>
      <w:r w:rsidRPr="00217855">
        <w:rPr>
          <w:color w:val="000000" w:themeColor="text1"/>
          <w:sz w:val="22"/>
          <w:szCs w:val="22"/>
        </w:rPr>
        <w:t>, garantiza a todos los habitantes de un Asentamiento Humano o Centros de Población el acceso a la vivienda, infraestructura, equipamiento y servicios básicos, a partir de los derechos reconocidos por la Constitución Política de los Estados Unidos Mexicanos y los tratados internacionales suscritos por México en la materia.</w:t>
      </w:r>
    </w:p>
    <w:p w:rsidR="004D47F6" w:rsidRPr="00217855" w:rsidRDefault="004D47F6" w:rsidP="004D47F6">
      <w:pPr>
        <w:pStyle w:val="Default"/>
        <w:jc w:val="both"/>
        <w:rPr>
          <w:color w:val="000000" w:themeColor="text1"/>
          <w:sz w:val="22"/>
          <w:szCs w:val="22"/>
        </w:rPr>
      </w:pPr>
    </w:p>
    <w:p w:rsidR="004D47F6" w:rsidRPr="00217855" w:rsidRDefault="004D47F6" w:rsidP="004D47F6">
      <w:pPr>
        <w:pStyle w:val="Default"/>
        <w:jc w:val="both"/>
        <w:rPr>
          <w:color w:val="000000" w:themeColor="text1"/>
          <w:sz w:val="22"/>
          <w:szCs w:val="22"/>
        </w:rPr>
      </w:pPr>
      <w:r w:rsidRPr="00835632">
        <w:rPr>
          <w:b/>
          <w:color w:val="000000" w:themeColor="text1"/>
          <w:sz w:val="22"/>
          <w:szCs w:val="22"/>
        </w:rPr>
        <w:t>III.</w:t>
      </w:r>
      <w:r w:rsidRPr="00217855">
        <w:rPr>
          <w:color w:val="000000" w:themeColor="text1"/>
          <w:sz w:val="22"/>
          <w:szCs w:val="22"/>
        </w:rPr>
        <w:t xml:space="preserve"> </w:t>
      </w:r>
      <w:r w:rsidR="00E94977" w:rsidRPr="00217855">
        <w:rPr>
          <w:color w:val="000000" w:themeColor="text1"/>
          <w:sz w:val="22"/>
          <w:szCs w:val="22"/>
        </w:rPr>
        <w:t>Que e</w:t>
      </w:r>
      <w:r w:rsidRPr="00217855">
        <w:rPr>
          <w:color w:val="000000" w:themeColor="text1"/>
          <w:sz w:val="22"/>
          <w:szCs w:val="22"/>
        </w:rPr>
        <w:t xml:space="preserve">l principio de participación democrática y transparencia, protege el derecho de todas las personas a participar en la formulación, seguimiento y evaluación de las políticas, planes y programas que determinan el desarrollo </w:t>
      </w:r>
      <w:r w:rsidR="00E94977" w:rsidRPr="00217855">
        <w:rPr>
          <w:color w:val="000000" w:themeColor="text1"/>
          <w:sz w:val="22"/>
          <w:szCs w:val="22"/>
        </w:rPr>
        <w:t>de las ciudades y el territorio</w:t>
      </w:r>
      <w:r w:rsidRPr="00217855">
        <w:rPr>
          <w:color w:val="000000" w:themeColor="text1"/>
          <w:sz w:val="22"/>
          <w:szCs w:val="22"/>
        </w:rPr>
        <w:t>.</w:t>
      </w:r>
    </w:p>
    <w:p w:rsidR="00E94977" w:rsidRPr="00217855" w:rsidRDefault="00E94977" w:rsidP="004D47F6">
      <w:pPr>
        <w:pStyle w:val="Default"/>
        <w:jc w:val="both"/>
        <w:rPr>
          <w:color w:val="000000" w:themeColor="text1"/>
          <w:sz w:val="22"/>
          <w:szCs w:val="22"/>
        </w:rPr>
      </w:pPr>
    </w:p>
    <w:p w:rsidR="00E94977" w:rsidRPr="00217855" w:rsidRDefault="00E94977" w:rsidP="00E94977">
      <w:pPr>
        <w:pStyle w:val="Default"/>
        <w:jc w:val="both"/>
        <w:rPr>
          <w:color w:val="000000" w:themeColor="text1"/>
          <w:sz w:val="22"/>
          <w:szCs w:val="22"/>
        </w:rPr>
      </w:pPr>
      <w:r w:rsidRPr="00835632">
        <w:rPr>
          <w:b/>
          <w:color w:val="000000" w:themeColor="text1"/>
          <w:sz w:val="22"/>
          <w:szCs w:val="22"/>
        </w:rPr>
        <w:t>IV.</w:t>
      </w:r>
      <w:r w:rsidRPr="00217855">
        <w:rPr>
          <w:color w:val="000000" w:themeColor="text1"/>
          <w:sz w:val="22"/>
          <w:szCs w:val="22"/>
        </w:rPr>
        <w:t xml:space="preserve"> Que la Ley General de Asentamientos Humanos, Ordenamiento Territorial y Desarrollo Urbano, dispone que toda persona, física o moral, podrá denunciar ante la instancia de procuración de ordenamiento territorial u otras autoridades locales, todo hecho, acto u omisión que contravenga las disposiciones de dicha Ley, las leyes estatales en la materia, las normas oficiales mexicanas o los planes o programas dispuestos en ella</w:t>
      </w:r>
      <w:r w:rsidR="00867044" w:rsidRPr="00217855">
        <w:rPr>
          <w:color w:val="000000" w:themeColor="text1"/>
          <w:sz w:val="22"/>
          <w:szCs w:val="22"/>
        </w:rPr>
        <w:t>.</w:t>
      </w:r>
    </w:p>
    <w:p w:rsidR="00867044" w:rsidRPr="00217855" w:rsidRDefault="00867044" w:rsidP="00E94977">
      <w:pPr>
        <w:pStyle w:val="Default"/>
        <w:jc w:val="both"/>
        <w:rPr>
          <w:color w:val="000000" w:themeColor="text1"/>
          <w:sz w:val="22"/>
          <w:szCs w:val="22"/>
        </w:rPr>
      </w:pPr>
    </w:p>
    <w:p w:rsidR="00867044" w:rsidRPr="00217855" w:rsidRDefault="00867044" w:rsidP="00867044">
      <w:pPr>
        <w:pStyle w:val="Default"/>
        <w:jc w:val="both"/>
        <w:rPr>
          <w:color w:val="000000" w:themeColor="text1"/>
          <w:sz w:val="22"/>
          <w:szCs w:val="22"/>
        </w:rPr>
      </w:pPr>
      <w:r w:rsidRPr="00835632">
        <w:rPr>
          <w:b/>
          <w:color w:val="000000" w:themeColor="text1"/>
          <w:sz w:val="22"/>
          <w:szCs w:val="22"/>
        </w:rPr>
        <w:t>V.</w:t>
      </w:r>
      <w:r w:rsidRPr="00217855">
        <w:rPr>
          <w:color w:val="000000" w:themeColor="text1"/>
          <w:sz w:val="22"/>
          <w:szCs w:val="22"/>
        </w:rPr>
        <w:t xml:space="preserve"> Que en tanto el Congreso de la Unión concluya el proceso para reformar las disposiciones legales correspondientes para ampliar las facultades de la Procuraduría Agraria, con el propósito de garantizar la procuración de la defensa de los derechos humanos vinculados al ordenamiento territorial</w:t>
      </w:r>
      <w:r w:rsidR="00C9391C" w:rsidRPr="00217855">
        <w:rPr>
          <w:color w:val="000000" w:themeColor="text1"/>
          <w:sz w:val="22"/>
          <w:szCs w:val="22"/>
        </w:rPr>
        <w:t xml:space="preserve"> y desarrollo urbano</w:t>
      </w:r>
      <w:r w:rsidRPr="00217855">
        <w:rPr>
          <w:color w:val="000000" w:themeColor="text1"/>
          <w:sz w:val="22"/>
          <w:szCs w:val="22"/>
        </w:rPr>
        <w:t>, he tenido a bien expedir el siguiente:</w:t>
      </w:r>
    </w:p>
    <w:p w:rsidR="00D062AF" w:rsidRPr="00217855" w:rsidRDefault="00D062AF">
      <w:pPr>
        <w:rPr>
          <w:rFonts w:ascii="Arial" w:hAnsi="Arial" w:cs="Arial"/>
        </w:rPr>
      </w:pPr>
    </w:p>
    <w:p w:rsidR="00CD4422" w:rsidRPr="00217855" w:rsidRDefault="004D47F6" w:rsidP="00CD4422">
      <w:pPr>
        <w:pStyle w:val="Default"/>
        <w:jc w:val="center"/>
        <w:rPr>
          <w:b/>
          <w:color w:val="000000" w:themeColor="text1"/>
          <w:sz w:val="22"/>
          <w:szCs w:val="22"/>
        </w:rPr>
      </w:pPr>
      <w:r w:rsidRPr="00217855">
        <w:rPr>
          <w:b/>
          <w:color w:val="000000" w:themeColor="text1"/>
          <w:sz w:val="22"/>
          <w:szCs w:val="22"/>
        </w:rPr>
        <w:t>ACUERDO POR EL QUE SE CREA EL COMITÉ DE PROCURACIÓN DE ORDENAMIENTO TERRITORIAL Y DESARROLLO URBANO</w:t>
      </w:r>
    </w:p>
    <w:p w:rsidR="00CD4422" w:rsidRPr="00217855" w:rsidRDefault="00CD4422">
      <w:pPr>
        <w:rPr>
          <w:rFonts w:ascii="Arial" w:hAnsi="Arial" w:cs="Arial"/>
        </w:rPr>
      </w:pPr>
    </w:p>
    <w:p w:rsidR="00CD4422" w:rsidRPr="00217855" w:rsidRDefault="00CD4422" w:rsidP="00CD4422">
      <w:pPr>
        <w:pStyle w:val="Default"/>
        <w:jc w:val="both"/>
        <w:rPr>
          <w:color w:val="000000" w:themeColor="text1"/>
          <w:sz w:val="22"/>
          <w:szCs w:val="22"/>
        </w:rPr>
      </w:pPr>
      <w:r w:rsidRPr="00217855">
        <w:rPr>
          <w:b/>
          <w:color w:val="000000" w:themeColor="text1"/>
          <w:sz w:val="22"/>
          <w:szCs w:val="22"/>
        </w:rPr>
        <w:t>Artículo 1</w:t>
      </w:r>
      <w:r w:rsidRPr="00217855">
        <w:rPr>
          <w:color w:val="000000" w:themeColor="text1"/>
          <w:sz w:val="22"/>
          <w:szCs w:val="22"/>
        </w:rPr>
        <w:t xml:space="preserve">.- </w:t>
      </w:r>
      <w:r w:rsidR="00867044" w:rsidRPr="00217855">
        <w:rPr>
          <w:color w:val="000000" w:themeColor="text1"/>
          <w:sz w:val="22"/>
          <w:szCs w:val="22"/>
        </w:rPr>
        <w:t>El presente Acuerdo tiene por objeto crear y definir el funcionamiento e integración del Comité de Procuración de Ordenamiento Territorial y Desarrollo Urbano</w:t>
      </w:r>
      <w:r w:rsidR="00C259E8" w:rsidRPr="00217855">
        <w:rPr>
          <w:color w:val="000000" w:themeColor="text1"/>
          <w:sz w:val="22"/>
          <w:szCs w:val="22"/>
        </w:rPr>
        <w:t xml:space="preserve"> en lo sucesivo</w:t>
      </w:r>
      <w:r w:rsidR="00A607FE" w:rsidRPr="00217855">
        <w:rPr>
          <w:color w:val="000000" w:themeColor="text1"/>
          <w:sz w:val="22"/>
          <w:szCs w:val="22"/>
        </w:rPr>
        <w:t>,</w:t>
      </w:r>
      <w:r w:rsidR="00C259E8" w:rsidRPr="00217855">
        <w:rPr>
          <w:color w:val="000000" w:themeColor="text1"/>
          <w:sz w:val="22"/>
          <w:szCs w:val="22"/>
        </w:rPr>
        <w:t xml:space="preserve"> </w:t>
      </w:r>
      <w:r w:rsidR="00A607FE" w:rsidRPr="00217855">
        <w:rPr>
          <w:color w:val="000000" w:themeColor="text1"/>
          <w:sz w:val="22"/>
          <w:szCs w:val="22"/>
        </w:rPr>
        <w:t>el Comité</w:t>
      </w:r>
      <w:r w:rsidR="00867044" w:rsidRPr="00217855">
        <w:rPr>
          <w:color w:val="000000" w:themeColor="text1"/>
          <w:sz w:val="22"/>
          <w:szCs w:val="22"/>
        </w:rPr>
        <w:t>, el cual será la instancia de procuración federal en términos de la Ley General de Asentamientos Humanos</w:t>
      </w:r>
      <w:r w:rsidR="00C9391C" w:rsidRPr="00217855">
        <w:rPr>
          <w:color w:val="000000" w:themeColor="text1"/>
          <w:sz w:val="22"/>
          <w:szCs w:val="22"/>
        </w:rPr>
        <w:t>,</w:t>
      </w:r>
      <w:r w:rsidR="00867044" w:rsidRPr="00217855">
        <w:rPr>
          <w:color w:val="000000" w:themeColor="text1"/>
          <w:sz w:val="22"/>
          <w:szCs w:val="22"/>
        </w:rPr>
        <w:t xml:space="preserve"> </w:t>
      </w:r>
      <w:r w:rsidR="00C9391C" w:rsidRPr="00217855">
        <w:rPr>
          <w:sz w:val="22"/>
          <w:szCs w:val="22"/>
        </w:rPr>
        <w:t>Ordenamiento Territorial y Desarrollo Urbano.</w:t>
      </w:r>
    </w:p>
    <w:p w:rsidR="00CD4422" w:rsidRPr="00217855" w:rsidRDefault="00CD4422" w:rsidP="00CD4422">
      <w:pPr>
        <w:pStyle w:val="Default"/>
        <w:jc w:val="both"/>
        <w:rPr>
          <w:color w:val="000000" w:themeColor="text1"/>
          <w:sz w:val="22"/>
          <w:szCs w:val="22"/>
        </w:rPr>
      </w:pPr>
    </w:p>
    <w:p w:rsidR="00C9391C" w:rsidRPr="00217855" w:rsidRDefault="00CD4422" w:rsidP="00C9391C">
      <w:pPr>
        <w:pStyle w:val="Default"/>
        <w:jc w:val="both"/>
        <w:rPr>
          <w:color w:val="000000" w:themeColor="text1"/>
          <w:sz w:val="22"/>
          <w:szCs w:val="22"/>
        </w:rPr>
      </w:pPr>
      <w:r w:rsidRPr="00217855">
        <w:rPr>
          <w:b/>
          <w:color w:val="000000" w:themeColor="text1"/>
          <w:sz w:val="22"/>
          <w:szCs w:val="22"/>
        </w:rPr>
        <w:t>Artículo 2</w:t>
      </w:r>
      <w:r w:rsidRPr="00217855">
        <w:rPr>
          <w:color w:val="000000" w:themeColor="text1"/>
          <w:sz w:val="22"/>
          <w:szCs w:val="22"/>
        </w:rPr>
        <w:t xml:space="preserve">.- </w:t>
      </w:r>
      <w:r w:rsidR="00A607FE" w:rsidRPr="00217855">
        <w:rPr>
          <w:color w:val="000000" w:themeColor="text1"/>
          <w:sz w:val="22"/>
          <w:szCs w:val="22"/>
        </w:rPr>
        <w:t>El Comité</w:t>
      </w:r>
      <w:r w:rsidR="00C9391C" w:rsidRPr="00217855">
        <w:rPr>
          <w:color w:val="000000" w:themeColor="text1"/>
          <w:sz w:val="22"/>
          <w:szCs w:val="22"/>
        </w:rPr>
        <w:t xml:space="preserve">, estará integrado de la siguiente manera: </w:t>
      </w:r>
    </w:p>
    <w:p w:rsidR="001B623C" w:rsidRPr="00217855" w:rsidRDefault="001B623C" w:rsidP="00C9391C">
      <w:pPr>
        <w:pStyle w:val="Default"/>
        <w:jc w:val="both"/>
        <w:rPr>
          <w:color w:val="000000" w:themeColor="text1"/>
          <w:sz w:val="22"/>
          <w:szCs w:val="22"/>
        </w:rPr>
      </w:pPr>
    </w:p>
    <w:p w:rsidR="00185EC9" w:rsidRDefault="00C9391C" w:rsidP="00C9391C">
      <w:pPr>
        <w:pStyle w:val="Default"/>
        <w:jc w:val="both"/>
        <w:rPr>
          <w:color w:val="000000" w:themeColor="text1"/>
          <w:sz w:val="22"/>
          <w:szCs w:val="22"/>
        </w:rPr>
      </w:pPr>
      <w:r w:rsidRPr="004B5E93">
        <w:rPr>
          <w:color w:val="000000" w:themeColor="text1"/>
          <w:sz w:val="22"/>
          <w:szCs w:val="22"/>
        </w:rPr>
        <w:t xml:space="preserve">I. </w:t>
      </w:r>
      <w:r w:rsidR="00185EC9" w:rsidRPr="004B5E93">
        <w:rPr>
          <w:color w:val="000000" w:themeColor="text1"/>
          <w:sz w:val="22"/>
          <w:szCs w:val="22"/>
        </w:rPr>
        <w:t xml:space="preserve">El </w:t>
      </w:r>
      <w:r w:rsidR="00101CA4" w:rsidRPr="004B5E93">
        <w:rPr>
          <w:color w:val="000000" w:themeColor="text1"/>
          <w:sz w:val="22"/>
          <w:szCs w:val="22"/>
        </w:rPr>
        <w:t>Subsecretario</w:t>
      </w:r>
      <w:r w:rsidR="00FA37DC" w:rsidRPr="004B5E93">
        <w:rPr>
          <w:color w:val="000000" w:themeColor="text1"/>
          <w:sz w:val="22"/>
          <w:szCs w:val="22"/>
        </w:rPr>
        <w:t xml:space="preserve"> de Ordenamiento Territorial</w:t>
      </w:r>
      <w:r w:rsidR="00185EC9" w:rsidRPr="004B5E93">
        <w:rPr>
          <w:color w:val="000000" w:themeColor="text1"/>
          <w:sz w:val="22"/>
          <w:szCs w:val="22"/>
        </w:rPr>
        <w:t>, quién lo presidirá.</w:t>
      </w:r>
    </w:p>
    <w:p w:rsidR="00C9391C" w:rsidRPr="00217855" w:rsidRDefault="00185EC9" w:rsidP="00C9391C">
      <w:pPr>
        <w:pStyle w:val="Default"/>
        <w:jc w:val="both"/>
        <w:rPr>
          <w:color w:val="000000" w:themeColor="text1"/>
          <w:sz w:val="22"/>
          <w:szCs w:val="22"/>
        </w:rPr>
      </w:pPr>
      <w:r>
        <w:rPr>
          <w:color w:val="000000" w:themeColor="text1"/>
          <w:sz w:val="22"/>
          <w:szCs w:val="22"/>
        </w:rPr>
        <w:lastRenderedPageBreak/>
        <w:t xml:space="preserve">II. </w:t>
      </w:r>
      <w:r w:rsidR="00C9391C" w:rsidRPr="00217855">
        <w:rPr>
          <w:color w:val="000000" w:themeColor="text1"/>
          <w:sz w:val="22"/>
          <w:szCs w:val="22"/>
        </w:rPr>
        <w:t>Un representante de la Subsecretaría de Ordenamiento Territorial,</w:t>
      </w:r>
      <w:r w:rsidRPr="00185EC9">
        <w:rPr>
          <w:color w:val="000000" w:themeColor="text1"/>
          <w:sz w:val="22"/>
          <w:szCs w:val="22"/>
        </w:rPr>
        <w:t xml:space="preserve"> </w:t>
      </w:r>
      <w:r w:rsidRPr="00217855">
        <w:rPr>
          <w:color w:val="000000" w:themeColor="text1"/>
          <w:sz w:val="22"/>
          <w:szCs w:val="22"/>
        </w:rPr>
        <w:t>como vocal</w:t>
      </w:r>
      <w:r w:rsidR="00632047" w:rsidRPr="00217855">
        <w:rPr>
          <w:color w:val="000000" w:themeColor="text1"/>
          <w:sz w:val="22"/>
          <w:szCs w:val="22"/>
        </w:rPr>
        <w:t>;</w:t>
      </w:r>
    </w:p>
    <w:p w:rsidR="00CD4422" w:rsidRPr="00217855" w:rsidRDefault="00C9391C" w:rsidP="00C9391C">
      <w:pPr>
        <w:pStyle w:val="Default"/>
        <w:jc w:val="both"/>
        <w:rPr>
          <w:color w:val="000000" w:themeColor="text1"/>
          <w:sz w:val="22"/>
          <w:szCs w:val="22"/>
        </w:rPr>
      </w:pPr>
      <w:r w:rsidRPr="00217855">
        <w:rPr>
          <w:color w:val="000000" w:themeColor="text1"/>
          <w:sz w:val="22"/>
          <w:szCs w:val="22"/>
        </w:rPr>
        <w:t>II</w:t>
      </w:r>
      <w:r w:rsidR="00185EC9">
        <w:rPr>
          <w:color w:val="000000" w:themeColor="text1"/>
          <w:sz w:val="22"/>
          <w:szCs w:val="22"/>
        </w:rPr>
        <w:t>I</w:t>
      </w:r>
      <w:r w:rsidRPr="00217855">
        <w:rPr>
          <w:color w:val="000000" w:themeColor="text1"/>
          <w:sz w:val="22"/>
          <w:szCs w:val="22"/>
        </w:rPr>
        <w:t xml:space="preserve">. Un representante de la Subsecretaría de Desarrollo Urbano y Vivienda, como </w:t>
      </w:r>
      <w:r w:rsidR="001B623C" w:rsidRPr="00217855">
        <w:rPr>
          <w:color w:val="000000" w:themeColor="text1"/>
          <w:sz w:val="22"/>
          <w:szCs w:val="22"/>
        </w:rPr>
        <w:t>v</w:t>
      </w:r>
      <w:r w:rsidR="00632047" w:rsidRPr="00217855">
        <w:rPr>
          <w:color w:val="000000" w:themeColor="text1"/>
          <w:sz w:val="22"/>
          <w:szCs w:val="22"/>
        </w:rPr>
        <w:t>ocal;</w:t>
      </w:r>
    </w:p>
    <w:p w:rsidR="00C9391C" w:rsidRPr="00217855" w:rsidRDefault="00185EC9" w:rsidP="00C9391C">
      <w:pPr>
        <w:pStyle w:val="Default"/>
        <w:jc w:val="both"/>
        <w:rPr>
          <w:color w:val="000000" w:themeColor="text1"/>
          <w:sz w:val="22"/>
          <w:szCs w:val="22"/>
        </w:rPr>
      </w:pPr>
      <w:r>
        <w:rPr>
          <w:color w:val="000000" w:themeColor="text1"/>
          <w:sz w:val="22"/>
          <w:szCs w:val="22"/>
        </w:rPr>
        <w:t>IV</w:t>
      </w:r>
      <w:r w:rsidR="00C9391C" w:rsidRPr="00217855">
        <w:rPr>
          <w:color w:val="000000" w:themeColor="text1"/>
          <w:sz w:val="22"/>
          <w:szCs w:val="22"/>
        </w:rPr>
        <w:t xml:space="preserve">. Un representante de la Procuraduría Agraria, como </w:t>
      </w:r>
      <w:r w:rsidR="001B623C" w:rsidRPr="00217855">
        <w:rPr>
          <w:color w:val="000000" w:themeColor="text1"/>
          <w:sz w:val="22"/>
          <w:szCs w:val="22"/>
        </w:rPr>
        <w:t>v</w:t>
      </w:r>
      <w:r w:rsidR="00632047" w:rsidRPr="00217855">
        <w:rPr>
          <w:color w:val="000000" w:themeColor="text1"/>
          <w:sz w:val="22"/>
          <w:szCs w:val="22"/>
        </w:rPr>
        <w:t>ocal;</w:t>
      </w:r>
    </w:p>
    <w:p w:rsidR="00C9391C" w:rsidRPr="00217855" w:rsidRDefault="00185EC9" w:rsidP="00C9391C">
      <w:pPr>
        <w:pStyle w:val="Default"/>
        <w:jc w:val="both"/>
        <w:rPr>
          <w:color w:val="000000" w:themeColor="text1"/>
          <w:sz w:val="22"/>
          <w:szCs w:val="22"/>
        </w:rPr>
      </w:pPr>
      <w:r>
        <w:rPr>
          <w:color w:val="000000" w:themeColor="text1"/>
          <w:sz w:val="22"/>
          <w:szCs w:val="22"/>
        </w:rPr>
        <w:t>V</w:t>
      </w:r>
      <w:r w:rsidR="00C9391C" w:rsidRPr="00217855">
        <w:rPr>
          <w:color w:val="000000" w:themeColor="text1"/>
          <w:sz w:val="22"/>
          <w:szCs w:val="22"/>
        </w:rPr>
        <w:t xml:space="preserve">. Un representante de la Comisión Nacional de Vivienda, como </w:t>
      </w:r>
      <w:r w:rsidR="001B623C" w:rsidRPr="00217855">
        <w:rPr>
          <w:color w:val="000000" w:themeColor="text1"/>
          <w:sz w:val="22"/>
          <w:szCs w:val="22"/>
        </w:rPr>
        <w:t>v</w:t>
      </w:r>
      <w:r w:rsidR="00632047" w:rsidRPr="00217855">
        <w:rPr>
          <w:color w:val="000000" w:themeColor="text1"/>
          <w:sz w:val="22"/>
          <w:szCs w:val="22"/>
        </w:rPr>
        <w:t>ocal;</w:t>
      </w:r>
    </w:p>
    <w:p w:rsidR="009F05FA" w:rsidRDefault="009F05FA" w:rsidP="00C9391C">
      <w:pPr>
        <w:pStyle w:val="Default"/>
        <w:jc w:val="both"/>
        <w:rPr>
          <w:color w:val="000000" w:themeColor="text1"/>
          <w:sz w:val="22"/>
          <w:szCs w:val="22"/>
        </w:rPr>
      </w:pPr>
      <w:r w:rsidRPr="00217855">
        <w:rPr>
          <w:color w:val="000000" w:themeColor="text1"/>
          <w:sz w:val="22"/>
          <w:szCs w:val="22"/>
        </w:rPr>
        <w:t>V</w:t>
      </w:r>
      <w:r w:rsidR="00185EC9">
        <w:rPr>
          <w:color w:val="000000" w:themeColor="text1"/>
          <w:sz w:val="22"/>
          <w:szCs w:val="22"/>
        </w:rPr>
        <w:t>I</w:t>
      </w:r>
      <w:r w:rsidRPr="00217855">
        <w:rPr>
          <w:color w:val="000000" w:themeColor="text1"/>
          <w:sz w:val="22"/>
          <w:szCs w:val="22"/>
        </w:rPr>
        <w:t xml:space="preserve">. Un representante de la Coordinación General de Delegaciones </w:t>
      </w:r>
      <w:r w:rsidR="00632047" w:rsidRPr="00217855">
        <w:rPr>
          <w:color w:val="000000" w:themeColor="text1"/>
          <w:sz w:val="22"/>
          <w:szCs w:val="22"/>
        </w:rPr>
        <w:t>de la SEDATU, como vocal;</w:t>
      </w:r>
    </w:p>
    <w:p w:rsidR="00FA37DC" w:rsidRPr="004B5E93" w:rsidRDefault="00FA37DC" w:rsidP="00C9391C">
      <w:pPr>
        <w:pStyle w:val="Default"/>
        <w:jc w:val="both"/>
        <w:rPr>
          <w:color w:val="000000" w:themeColor="text1"/>
          <w:sz w:val="22"/>
          <w:szCs w:val="22"/>
        </w:rPr>
      </w:pPr>
      <w:r w:rsidRPr="004B5E93">
        <w:rPr>
          <w:color w:val="000000" w:themeColor="text1"/>
          <w:sz w:val="22"/>
          <w:szCs w:val="22"/>
        </w:rPr>
        <w:t>VII. Un representante del Fideicomiso del Fondo Nacional de Habitaciones Populares, como vocal;</w:t>
      </w:r>
    </w:p>
    <w:p w:rsidR="00FA37DC" w:rsidRPr="00217855" w:rsidRDefault="00FA37DC" w:rsidP="00C9391C">
      <w:pPr>
        <w:pStyle w:val="Default"/>
        <w:jc w:val="both"/>
        <w:rPr>
          <w:color w:val="000000" w:themeColor="text1"/>
          <w:sz w:val="22"/>
          <w:szCs w:val="22"/>
        </w:rPr>
      </w:pPr>
      <w:r w:rsidRPr="004B5E93">
        <w:rPr>
          <w:color w:val="000000" w:themeColor="text1"/>
          <w:sz w:val="22"/>
          <w:szCs w:val="22"/>
        </w:rPr>
        <w:t>VIII. Un representante del Instituto Nacional del Suelo Sustentable, como vocal</w:t>
      </w:r>
      <w:r w:rsidR="004B5E93">
        <w:rPr>
          <w:color w:val="000000" w:themeColor="text1"/>
          <w:sz w:val="22"/>
          <w:szCs w:val="22"/>
        </w:rPr>
        <w:t>;</w:t>
      </w:r>
    </w:p>
    <w:p w:rsidR="00705A17" w:rsidRDefault="00705A17" w:rsidP="00C9391C">
      <w:pPr>
        <w:pStyle w:val="Default"/>
        <w:jc w:val="both"/>
        <w:rPr>
          <w:color w:val="000000" w:themeColor="text1"/>
          <w:sz w:val="22"/>
          <w:szCs w:val="22"/>
        </w:rPr>
      </w:pPr>
      <w:r>
        <w:rPr>
          <w:color w:val="000000" w:themeColor="text1"/>
          <w:sz w:val="22"/>
          <w:szCs w:val="22"/>
        </w:rPr>
        <w:t>I</w:t>
      </w:r>
      <w:r w:rsidR="00FA37DC">
        <w:rPr>
          <w:color w:val="000000" w:themeColor="text1"/>
          <w:sz w:val="22"/>
          <w:szCs w:val="22"/>
        </w:rPr>
        <w:t>X</w:t>
      </w:r>
      <w:r w:rsidR="00C84180" w:rsidRPr="00217855">
        <w:rPr>
          <w:color w:val="000000" w:themeColor="text1"/>
          <w:sz w:val="22"/>
          <w:szCs w:val="22"/>
        </w:rPr>
        <w:t>. Un representante de la Procuraduría Agraria, como Secretario Técnico;</w:t>
      </w:r>
    </w:p>
    <w:p w:rsidR="00C9391C" w:rsidRPr="00217855" w:rsidRDefault="00FA37DC" w:rsidP="00C9391C">
      <w:pPr>
        <w:pStyle w:val="Default"/>
        <w:jc w:val="both"/>
        <w:rPr>
          <w:color w:val="000000" w:themeColor="text1"/>
          <w:sz w:val="22"/>
          <w:szCs w:val="22"/>
        </w:rPr>
      </w:pPr>
      <w:r>
        <w:rPr>
          <w:color w:val="000000" w:themeColor="text1"/>
          <w:sz w:val="22"/>
          <w:szCs w:val="22"/>
        </w:rPr>
        <w:t>X</w:t>
      </w:r>
      <w:r w:rsidR="00C9391C" w:rsidRPr="00217855">
        <w:rPr>
          <w:color w:val="000000" w:themeColor="text1"/>
          <w:sz w:val="22"/>
          <w:szCs w:val="22"/>
        </w:rPr>
        <w:t xml:space="preserve">. Un representante de la Unidad de Asuntos Jurídicos de la SEDATU, como </w:t>
      </w:r>
      <w:r w:rsidR="00632047" w:rsidRPr="00217855">
        <w:rPr>
          <w:color w:val="000000" w:themeColor="text1"/>
          <w:sz w:val="22"/>
          <w:szCs w:val="22"/>
        </w:rPr>
        <w:t>asesor, y</w:t>
      </w:r>
    </w:p>
    <w:p w:rsidR="0057185B" w:rsidRPr="00217855" w:rsidRDefault="00185EC9" w:rsidP="00C9391C">
      <w:pPr>
        <w:pStyle w:val="Default"/>
        <w:jc w:val="both"/>
        <w:rPr>
          <w:color w:val="000000" w:themeColor="text1"/>
          <w:sz w:val="22"/>
          <w:szCs w:val="22"/>
        </w:rPr>
      </w:pPr>
      <w:r>
        <w:rPr>
          <w:color w:val="000000" w:themeColor="text1"/>
          <w:sz w:val="22"/>
          <w:szCs w:val="22"/>
        </w:rPr>
        <w:t>X</w:t>
      </w:r>
      <w:r w:rsidR="00FA37DC">
        <w:rPr>
          <w:color w:val="000000" w:themeColor="text1"/>
          <w:sz w:val="22"/>
          <w:szCs w:val="22"/>
        </w:rPr>
        <w:t>I</w:t>
      </w:r>
      <w:r w:rsidR="0057185B" w:rsidRPr="00217855">
        <w:rPr>
          <w:color w:val="000000" w:themeColor="text1"/>
          <w:sz w:val="22"/>
          <w:szCs w:val="22"/>
        </w:rPr>
        <w:t>. Un representante del Órgano Interno de Control en la SEDATU, como asesor.</w:t>
      </w:r>
    </w:p>
    <w:p w:rsidR="00C9391C" w:rsidRPr="00217855" w:rsidRDefault="00C9391C" w:rsidP="00C9391C">
      <w:pPr>
        <w:pStyle w:val="Default"/>
        <w:jc w:val="both"/>
        <w:rPr>
          <w:color w:val="000000" w:themeColor="text1"/>
          <w:sz w:val="22"/>
          <w:szCs w:val="22"/>
        </w:rPr>
      </w:pPr>
    </w:p>
    <w:p w:rsidR="004E20DB" w:rsidRDefault="00FA37DC" w:rsidP="00CD4422">
      <w:pPr>
        <w:pStyle w:val="Default"/>
        <w:jc w:val="both"/>
        <w:rPr>
          <w:color w:val="000000" w:themeColor="text1"/>
          <w:sz w:val="22"/>
          <w:szCs w:val="22"/>
        </w:rPr>
      </w:pPr>
      <w:r w:rsidRPr="004B5E93">
        <w:rPr>
          <w:color w:val="000000" w:themeColor="text1"/>
          <w:sz w:val="22"/>
          <w:szCs w:val="22"/>
        </w:rPr>
        <w:t>Las resoluciones del Comité se tomarán por mayoría</w:t>
      </w:r>
      <w:r w:rsidR="004E20DB" w:rsidRPr="004B5E93">
        <w:rPr>
          <w:color w:val="000000" w:themeColor="text1"/>
          <w:sz w:val="22"/>
          <w:szCs w:val="22"/>
        </w:rPr>
        <w:t xml:space="preserve"> de votos.</w:t>
      </w:r>
    </w:p>
    <w:p w:rsidR="004E20DB" w:rsidRDefault="004E20DB" w:rsidP="00CD4422">
      <w:pPr>
        <w:pStyle w:val="Default"/>
        <w:jc w:val="both"/>
        <w:rPr>
          <w:color w:val="000000" w:themeColor="text1"/>
          <w:sz w:val="22"/>
          <w:szCs w:val="22"/>
        </w:rPr>
      </w:pPr>
    </w:p>
    <w:p w:rsidR="00CD4422" w:rsidRPr="00217855" w:rsidRDefault="0057185B" w:rsidP="00CD4422">
      <w:pPr>
        <w:pStyle w:val="Default"/>
        <w:jc w:val="both"/>
        <w:rPr>
          <w:bCs/>
          <w:color w:val="000000" w:themeColor="text1"/>
          <w:sz w:val="22"/>
          <w:szCs w:val="22"/>
        </w:rPr>
      </w:pPr>
      <w:r w:rsidRPr="00217855">
        <w:rPr>
          <w:bCs/>
          <w:color w:val="000000" w:themeColor="text1"/>
          <w:sz w:val="22"/>
          <w:szCs w:val="22"/>
        </w:rPr>
        <w:t>El Presidente de</w:t>
      </w:r>
      <w:r w:rsidR="00A607FE" w:rsidRPr="00217855">
        <w:rPr>
          <w:bCs/>
          <w:color w:val="000000" w:themeColor="text1"/>
          <w:sz w:val="22"/>
          <w:szCs w:val="22"/>
        </w:rPr>
        <w:t xml:space="preserve">l </w:t>
      </w:r>
      <w:r w:rsidR="00A607FE" w:rsidRPr="00217855">
        <w:rPr>
          <w:color w:val="000000" w:themeColor="text1"/>
          <w:sz w:val="22"/>
          <w:szCs w:val="22"/>
        </w:rPr>
        <w:t>Comité</w:t>
      </w:r>
      <w:r w:rsidR="001B623C" w:rsidRPr="00217855">
        <w:rPr>
          <w:bCs/>
          <w:color w:val="000000" w:themeColor="text1"/>
          <w:sz w:val="22"/>
          <w:szCs w:val="22"/>
        </w:rPr>
        <w:t xml:space="preserve"> </w:t>
      </w:r>
      <w:r w:rsidRPr="00217855">
        <w:rPr>
          <w:bCs/>
          <w:color w:val="000000" w:themeColor="text1"/>
          <w:sz w:val="22"/>
          <w:szCs w:val="22"/>
        </w:rPr>
        <w:t>tendrá voto de calidad en la resolución de los asuntos</w:t>
      </w:r>
      <w:r w:rsidR="00185EC9">
        <w:rPr>
          <w:bCs/>
          <w:color w:val="000000" w:themeColor="text1"/>
          <w:sz w:val="22"/>
          <w:szCs w:val="22"/>
        </w:rPr>
        <w:t xml:space="preserve"> y podrá nombrar a un suplente</w:t>
      </w:r>
      <w:r w:rsidRPr="00217855">
        <w:rPr>
          <w:bCs/>
          <w:color w:val="000000" w:themeColor="text1"/>
          <w:sz w:val="22"/>
          <w:szCs w:val="22"/>
        </w:rPr>
        <w:t>, los vocales tendrán voz y voto,</w:t>
      </w:r>
      <w:r w:rsidR="009F05FA" w:rsidRPr="00217855">
        <w:rPr>
          <w:bCs/>
          <w:color w:val="000000" w:themeColor="text1"/>
          <w:sz w:val="22"/>
          <w:szCs w:val="22"/>
        </w:rPr>
        <w:t xml:space="preserve"> el Secretario técnico y</w:t>
      </w:r>
      <w:r w:rsidRPr="00217855">
        <w:rPr>
          <w:bCs/>
          <w:color w:val="000000" w:themeColor="text1"/>
          <w:sz w:val="22"/>
          <w:szCs w:val="22"/>
        </w:rPr>
        <w:t xml:space="preserve"> los asesores únicamente voz. </w:t>
      </w:r>
    </w:p>
    <w:p w:rsidR="00CD4422" w:rsidRPr="00217855" w:rsidRDefault="00CD4422" w:rsidP="00CD4422">
      <w:pPr>
        <w:pStyle w:val="Default"/>
        <w:jc w:val="both"/>
        <w:rPr>
          <w:color w:val="000000" w:themeColor="text1"/>
          <w:sz w:val="22"/>
          <w:szCs w:val="22"/>
        </w:rPr>
      </w:pPr>
    </w:p>
    <w:p w:rsidR="0057185B" w:rsidRPr="00217855" w:rsidRDefault="001B623C" w:rsidP="00CD4422">
      <w:pPr>
        <w:pStyle w:val="Default"/>
        <w:jc w:val="both"/>
        <w:rPr>
          <w:color w:val="000000" w:themeColor="text1"/>
          <w:sz w:val="22"/>
          <w:szCs w:val="22"/>
        </w:rPr>
      </w:pPr>
      <w:r w:rsidRPr="00217855">
        <w:rPr>
          <w:color w:val="000000" w:themeColor="text1"/>
          <w:sz w:val="22"/>
          <w:szCs w:val="22"/>
        </w:rPr>
        <w:t>El P</w:t>
      </w:r>
      <w:r w:rsidR="0057185B" w:rsidRPr="00217855">
        <w:rPr>
          <w:color w:val="000000" w:themeColor="text1"/>
          <w:sz w:val="22"/>
          <w:szCs w:val="22"/>
        </w:rPr>
        <w:t xml:space="preserve">residente podrá </w:t>
      </w:r>
      <w:r w:rsidR="00C259E8" w:rsidRPr="00217855">
        <w:rPr>
          <w:color w:val="000000" w:themeColor="text1"/>
          <w:sz w:val="22"/>
          <w:szCs w:val="22"/>
        </w:rPr>
        <w:t xml:space="preserve">convocar a invitados a las sesiones, cuando sea necesario para la resolución de los asuntos planteados en </w:t>
      </w:r>
      <w:r w:rsidR="00A607FE" w:rsidRPr="00217855">
        <w:rPr>
          <w:color w:val="000000" w:themeColor="text1"/>
          <w:sz w:val="22"/>
          <w:szCs w:val="22"/>
        </w:rPr>
        <w:t>el Comité</w:t>
      </w:r>
      <w:r w:rsidR="004E20DB" w:rsidRPr="004B5E93">
        <w:rPr>
          <w:color w:val="000000" w:themeColor="text1"/>
          <w:sz w:val="22"/>
          <w:szCs w:val="22"/>
        </w:rPr>
        <w:t>, quienes solo tendrán voz</w:t>
      </w:r>
      <w:r w:rsidR="00C259E8" w:rsidRPr="004B5E93">
        <w:rPr>
          <w:color w:val="000000" w:themeColor="text1"/>
          <w:sz w:val="22"/>
          <w:szCs w:val="22"/>
        </w:rPr>
        <w:t>.</w:t>
      </w:r>
    </w:p>
    <w:p w:rsidR="001B623C" w:rsidRPr="00217855" w:rsidRDefault="001B623C" w:rsidP="00CD4422">
      <w:pPr>
        <w:pStyle w:val="Default"/>
        <w:jc w:val="both"/>
        <w:rPr>
          <w:color w:val="000000" w:themeColor="text1"/>
          <w:sz w:val="22"/>
          <w:szCs w:val="22"/>
        </w:rPr>
      </w:pPr>
    </w:p>
    <w:p w:rsidR="001B623C" w:rsidRPr="00217855" w:rsidRDefault="001B623C" w:rsidP="00CD4422">
      <w:pPr>
        <w:pStyle w:val="Default"/>
        <w:jc w:val="both"/>
        <w:rPr>
          <w:color w:val="000000" w:themeColor="text1"/>
          <w:sz w:val="22"/>
          <w:szCs w:val="22"/>
        </w:rPr>
      </w:pPr>
      <w:r w:rsidRPr="00217855">
        <w:rPr>
          <w:color w:val="000000" w:themeColor="text1"/>
          <w:sz w:val="22"/>
          <w:szCs w:val="22"/>
        </w:rPr>
        <w:t xml:space="preserve">El nivel de los representantes </w:t>
      </w:r>
      <w:r w:rsidR="009F05FA" w:rsidRPr="00217855">
        <w:rPr>
          <w:color w:val="000000" w:themeColor="text1"/>
          <w:sz w:val="22"/>
          <w:szCs w:val="22"/>
        </w:rPr>
        <w:t xml:space="preserve">ante </w:t>
      </w:r>
      <w:r w:rsidR="00A607FE" w:rsidRPr="00217855">
        <w:rPr>
          <w:color w:val="000000" w:themeColor="text1"/>
          <w:sz w:val="22"/>
          <w:szCs w:val="22"/>
        </w:rPr>
        <w:t>el Comité</w:t>
      </w:r>
      <w:r w:rsidRPr="00217855">
        <w:rPr>
          <w:color w:val="000000" w:themeColor="text1"/>
          <w:sz w:val="22"/>
          <w:szCs w:val="22"/>
        </w:rPr>
        <w:t>, no podrá ser menor al de Director de Área o equivalente</w:t>
      </w:r>
      <w:r w:rsidR="008B4968">
        <w:rPr>
          <w:color w:val="000000" w:themeColor="text1"/>
          <w:sz w:val="22"/>
          <w:szCs w:val="22"/>
        </w:rPr>
        <w:t xml:space="preserve"> </w:t>
      </w:r>
      <w:r w:rsidR="008B4968" w:rsidRPr="004B5E93">
        <w:rPr>
          <w:color w:val="000000" w:themeColor="text1"/>
          <w:sz w:val="22"/>
          <w:szCs w:val="22"/>
        </w:rPr>
        <w:t>y serán designados por los titulares de las áreas o Instituciones que representen</w:t>
      </w:r>
      <w:r w:rsidR="008B4968" w:rsidRPr="00217855">
        <w:rPr>
          <w:color w:val="000000" w:themeColor="text1"/>
          <w:sz w:val="22"/>
          <w:szCs w:val="22"/>
        </w:rPr>
        <w:t>.</w:t>
      </w:r>
    </w:p>
    <w:p w:rsidR="0057185B" w:rsidRPr="00217855" w:rsidRDefault="0057185B" w:rsidP="00CD4422">
      <w:pPr>
        <w:pStyle w:val="Default"/>
        <w:jc w:val="both"/>
        <w:rPr>
          <w:b/>
          <w:color w:val="000000" w:themeColor="text1"/>
          <w:sz w:val="22"/>
          <w:szCs w:val="22"/>
        </w:rPr>
      </w:pPr>
    </w:p>
    <w:p w:rsidR="00CD4422" w:rsidRPr="00217855" w:rsidRDefault="00CD4422" w:rsidP="00CD4422">
      <w:pPr>
        <w:pStyle w:val="Default"/>
        <w:jc w:val="both"/>
        <w:rPr>
          <w:color w:val="000000" w:themeColor="text1"/>
          <w:sz w:val="22"/>
          <w:szCs w:val="22"/>
        </w:rPr>
      </w:pPr>
      <w:r w:rsidRPr="00217855">
        <w:rPr>
          <w:b/>
          <w:color w:val="000000" w:themeColor="text1"/>
          <w:sz w:val="22"/>
          <w:szCs w:val="22"/>
        </w:rPr>
        <w:t xml:space="preserve">Artículo </w:t>
      </w:r>
      <w:r w:rsidR="001B623C" w:rsidRPr="00217855">
        <w:rPr>
          <w:b/>
          <w:color w:val="000000" w:themeColor="text1"/>
          <w:sz w:val="22"/>
          <w:szCs w:val="22"/>
        </w:rPr>
        <w:t>3</w:t>
      </w:r>
      <w:r w:rsidRPr="00217855">
        <w:rPr>
          <w:color w:val="000000" w:themeColor="text1"/>
          <w:sz w:val="22"/>
          <w:szCs w:val="22"/>
        </w:rPr>
        <w:t>.- Las sesiones de</w:t>
      </w:r>
      <w:r w:rsidR="00A607FE" w:rsidRPr="00217855">
        <w:rPr>
          <w:color w:val="000000" w:themeColor="text1"/>
          <w:sz w:val="22"/>
          <w:szCs w:val="22"/>
        </w:rPr>
        <w:t>l Comité</w:t>
      </w:r>
      <w:r w:rsidR="001B623C" w:rsidRPr="00217855">
        <w:rPr>
          <w:b/>
          <w:color w:val="000000" w:themeColor="text1"/>
          <w:sz w:val="22"/>
          <w:szCs w:val="22"/>
        </w:rPr>
        <w:t xml:space="preserve"> </w:t>
      </w:r>
      <w:r w:rsidR="001B623C" w:rsidRPr="00217855">
        <w:rPr>
          <w:color w:val="000000" w:themeColor="text1"/>
          <w:sz w:val="22"/>
          <w:szCs w:val="22"/>
        </w:rPr>
        <w:t>serán convocadas por su Presidente o el Secretario Técnico, lo cual dependerá del cúmulo de asuntos a resolver.</w:t>
      </w:r>
      <w:r w:rsidRPr="00217855">
        <w:rPr>
          <w:color w:val="000000" w:themeColor="text1"/>
          <w:sz w:val="22"/>
          <w:szCs w:val="22"/>
        </w:rPr>
        <w:t xml:space="preserve"> </w:t>
      </w:r>
    </w:p>
    <w:p w:rsidR="00CD4422" w:rsidRPr="00217855" w:rsidRDefault="00CD4422" w:rsidP="00CD4422">
      <w:pPr>
        <w:pStyle w:val="Default"/>
        <w:jc w:val="both"/>
        <w:rPr>
          <w:color w:val="000000" w:themeColor="text1"/>
          <w:sz w:val="22"/>
          <w:szCs w:val="22"/>
        </w:rPr>
      </w:pPr>
    </w:p>
    <w:p w:rsidR="00CD4422" w:rsidRPr="00217855" w:rsidRDefault="00CD4422" w:rsidP="00CD4422">
      <w:pPr>
        <w:pStyle w:val="Default"/>
        <w:jc w:val="both"/>
        <w:rPr>
          <w:color w:val="000000" w:themeColor="text1"/>
          <w:sz w:val="22"/>
          <w:szCs w:val="22"/>
        </w:rPr>
      </w:pPr>
      <w:r w:rsidRPr="00217855">
        <w:rPr>
          <w:color w:val="000000" w:themeColor="text1"/>
          <w:sz w:val="22"/>
          <w:szCs w:val="22"/>
        </w:rPr>
        <w:t>Las sesiones podrán ser presenciales y en su caso</w:t>
      </w:r>
      <w:r w:rsidR="001B623C" w:rsidRPr="00217855">
        <w:rPr>
          <w:color w:val="000000" w:themeColor="text1"/>
          <w:sz w:val="22"/>
          <w:szCs w:val="22"/>
        </w:rPr>
        <w:t>,</w:t>
      </w:r>
      <w:r w:rsidRPr="00217855">
        <w:rPr>
          <w:color w:val="000000" w:themeColor="text1"/>
          <w:sz w:val="22"/>
          <w:szCs w:val="22"/>
        </w:rPr>
        <w:t xml:space="preserve"> por medios remotos de comunicación, que para tal efecto </w:t>
      </w:r>
      <w:r w:rsidR="005857F0" w:rsidRPr="00217855">
        <w:rPr>
          <w:color w:val="000000" w:themeColor="text1"/>
          <w:sz w:val="22"/>
          <w:szCs w:val="22"/>
        </w:rPr>
        <w:t>se determine en la convocatoria.</w:t>
      </w:r>
      <w:r w:rsidRPr="00217855">
        <w:rPr>
          <w:color w:val="000000" w:themeColor="text1"/>
          <w:sz w:val="22"/>
          <w:szCs w:val="22"/>
        </w:rPr>
        <w:t xml:space="preserve"> </w:t>
      </w:r>
    </w:p>
    <w:p w:rsidR="006C6AD4" w:rsidRPr="00217855" w:rsidRDefault="006C6AD4" w:rsidP="00CD4422">
      <w:pPr>
        <w:pStyle w:val="Default"/>
        <w:jc w:val="both"/>
        <w:rPr>
          <w:color w:val="000000" w:themeColor="text1"/>
          <w:sz w:val="22"/>
          <w:szCs w:val="22"/>
        </w:rPr>
      </w:pPr>
    </w:p>
    <w:p w:rsidR="00CD4422" w:rsidRPr="00217855" w:rsidRDefault="00A607FE" w:rsidP="00CD4422">
      <w:pPr>
        <w:pStyle w:val="Default"/>
        <w:jc w:val="both"/>
        <w:rPr>
          <w:color w:val="000000" w:themeColor="text1"/>
          <w:sz w:val="22"/>
          <w:szCs w:val="22"/>
        </w:rPr>
      </w:pPr>
      <w:r w:rsidRPr="00217855">
        <w:rPr>
          <w:color w:val="000000" w:themeColor="text1"/>
          <w:sz w:val="22"/>
          <w:szCs w:val="22"/>
        </w:rPr>
        <w:t>El Comité</w:t>
      </w:r>
      <w:r w:rsidR="006C6AD4" w:rsidRPr="00217855">
        <w:rPr>
          <w:b/>
          <w:color w:val="000000" w:themeColor="text1"/>
          <w:sz w:val="22"/>
          <w:szCs w:val="22"/>
        </w:rPr>
        <w:t xml:space="preserve"> </w:t>
      </w:r>
      <w:r w:rsidR="006C6AD4" w:rsidRPr="00217855">
        <w:rPr>
          <w:color w:val="000000" w:themeColor="text1"/>
          <w:sz w:val="22"/>
          <w:szCs w:val="22"/>
        </w:rPr>
        <w:t>sesionará válidamente con al menos la mitad más uno de sus integrantes.</w:t>
      </w:r>
    </w:p>
    <w:p w:rsidR="006C6AD4" w:rsidRPr="00217855" w:rsidRDefault="006C6AD4" w:rsidP="00CD4422">
      <w:pPr>
        <w:pStyle w:val="Default"/>
        <w:jc w:val="both"/>
        <w:rPr>
          <w:color w:val="000000" w:themeColor="text1"/>
          <w:sz w:val="22"/>
          <w:szCs w:val="22"/>
        </w:rPr>
      </w:pPr>
    </w:p>
    <w:p w:rsidR="00CD4422" w:rsidRPr="00217855" w:rsidRDefault="00C2437C" w:rsidP="00CD4422">
      <w:pPr>
        <w:pStyle w:val="Default"/>
        <w:jc w:val="both"/>
        <w:rPr>
          <w:color w:val="000000" w:themeColor="text1"/>
          <w:sz w:val="22"/>
          <w:szCs w:val="22"/>
        </w:rPr>
      </w:pPr>
      <w:r w:rsidRPr="00217855">
        <w:rPr>
          <w:b/>
          <w:color w:val="000000" w:themeColor="text1"/>
          <w:sz w:val="22"/>
          <w:szCs w:val="22"/>
        </w:rPr>
        <w:t>Artículo 4</w:t>
      </w:r>
      <w:r w:rsidR="00CD4422" w:rsidRPr="00217855">
        <w:rPr>
          <w:color w:val="000000" w:themeColor="text1"/>
          <w:sz w:val="22"/>
          <w:szCs w:val="22"/>
        </w:rPr>
        <w:t xml:space="preserve">.- </w:t>
      </w:r>
      <w:r w:rsidR="00A607FE" w:rsidRPr="00217855">
        <w:rPr>
          <w:color w:val="000000" w:themeColor="text1"/>
          <w:sz w:val="22"/>
          <w:szCs w:val="22"/>
        </w:rPr>
        <w:t>El Comité</w:t>
      </w:r>
      <w:r w:rsidR="001B623C" w:rsidRPr="00217855">
        <w:rPr>
          <w:b/>
          <w:color w:val="000000" w:themeColor="text1"/>
          <w:sz w:val="22"/>
          <w:szCs w:val="22"/>
        </w:rPr>
        <w:t xml:space="preserve"> </w:t>
      </w:r>
      <w:r w:rsidR="00CD4422" w:rsidRPr="00217855">
        <w:rPr>
          <w:color w:val="000000" w:themeColor="text1"/>
          <w:sz w:val="22"/>
          <w:szCs w:val="22"/>
        </w:rPr>
        <w:t xml:space="preserve">tendrá las siguientes atribuciones: </w:t>
      </w:r>
    </w:p>
    <w:p w:rsidR="001B623C" w:rsidRPr="00217855" w:rsidRDefault="001B623C" w:rsidP="00CD4422">
      <w:pPr>
        <w:pStyle w:val="Default"/>
        <w:jc w:val="both"/>
        <w:rPr>
          <w:color w:val="000000" w:themeColor="text1"/>
          <w:sz w:val="22"/>
          <w:szCs w:val="22"/>
        </w:rPr>
      </w:pPr>
    </w:p>
    <w:p w:rsidR="008C7287" w:rsidRPr="00217855" w:rsidRDefault="001B623C" w:rsidP="00CD4422">
      <w:pPr>
        <w:pStyle w:val="Default"/>
        <w:jc w:val="both"/>
        <w:rPr>
          <w:color w:val="000000" w:themeColor="text1"/>
          <w:sz w:val="22"/>
          <w:szCs w:val="22"/>
        </w:rPr>
      </w:pPr>
      <w:r w:rsidRPr="00217855">
        <w:rPr>
          <w:color w:val="000000" w:themeColor="text1"/>
          <w:sz w:val="22"/>
          <w:szCs w:val="22"/>
        </w:rPr>
        <w:t xml:space="preserve">I. </w:t>
      </w:r>
      <w:r w:rsidR="008C7287" w:rsidRPr="00217855">
        <w:rPr>
          <w:color w:val="000000" w:themeColor="text1"/>
          <w:sz w:val="22"/>
          <w:szCs w:val="22"/>
        </w:rPr>
        <w:t xml:space="preserve">Dar atención a las denuncias ciudadanas presentadas en términos de la Ley General de Asentamientos Humanos, Ordenamiento </w:t>
      </w:r>
      <w:r w:rsidR="00C60149" w:rsidRPr="00217855">
        <w:rPr>
          <w:color w:val="000000" w:themeColor="text1"/>
          <w:sz w:val="22"/>
          <w:szCs w:val="22"/>
        </w:rPr>
        <w:t>Territorial y Desarrollo Urbano</w:t>
      </w:r>
      <w:r w:rsidR="006C6AD4" w:rsidRPr="00217855">
        <w:rPr>
          <w:color w:val="000000" w:themeColor="text1"/>
          <w:sz w:val="22"/>
          <w:szCs w:val="22"/>
        </w:rPr>
        <w:t xml:space="preserve"> e implementar su sistema de gestión</w:t>
      </w:r>
      <w:r w:rsidR="00C60149" w:rsidRPr="00217855">
        <w:rPr>
          <w:color w:val="000000" w:themeColor="text1"/>
          <w:sz w:val="22"/>
          <w:szCs w:val="22"/>
        </w:rPr>
        <w:t>;</w:t>
      </w:r>
    </w:p>
    <w:p w:rsidR="008C7287" w:rsidRPr="00217855" w:rsidRDefault="008C7287" w:rsidP="00CD4422">
      <w:pPr>
        <w:pStyle w:val="Default"/>
        <w:jc w:val="both"/>
        <w:rPr>
          <w:color w:val="000000" w:themeColor="text1"/>
          <w:sz w:val="22"/>
          <w:szCs w:val="22"/>
        </w:rPr>
      </w:pPr>
    </w:p>
    <w:p w:rsidR="00C84180" w:rsidRPr="00217855" w:rsidRDefault="008C7287" w:rsidP="00CD4422">
      <w:pPr>
        <w:pStyle w:val="Default"/>
        <w:jc w:val="both"/>
        <w:rPr>
          <w:color w:val="000000" w:themeColor="text1"/>
          <w:sz w:val="22"/>
          <w:szCs w:val="22"/>
        </w:rPr>
      </w:pPr>
      <w:r w:rsidRPr="00217855">
        <w:rPr>
          <w:color w:val="000000" w:themeColor="text1"/>
          <w:sz w:val="22"/>
          <w:szCs w:val="22"/>
        </w:rPr>
        <w:t>II. Determinar</w:t>
      </w:r>
      <w:r w:rsidR="001B623C" w:rsidRPr="00217855">
        <w:rPr>
          <w:color w:val="000000" w:themeColor="text1"/>
          <w:sz w:val="22"/>
          <w:szCs w:val="22"/>
        </w:rPr>
        <w:t xml:space="preserve"> la admisión</w:t>
      </w:r>
      <w:r w:rsidRPr="00217855">
        <w:rPr>
          <w:color w:val="000000" w:themeColor="text1"/>
          <w:sz w:val="22"/>
          <w:szCs w:val="22"/>
        </w:rPr>
        <w:t xml:space="preserve"> o</w:t>
      </w:r>
      <w:r w:rsidR="001B623C" w:rsidRPr="00217855">
        <w:rPr>
          <w:color w:val="000000" w:themeColor="text1"/>
          <w:sz w:val="22"/>
          <w:szCs w:val="22"/>
        </w:rPr>
        <w:t xml:space="preserve"> prevención </w:t>
      </w:r>
      <w:r w:rsidRPr="00217855">
        <w:rPr>
          <w:color w:val="000000" w:themeColor="text1"/>
          <w:sz w:val="22"/>
          <w:szCs w:val="22"/>
        </w:rPr>
        <w:t>en</w:t>
      </w:r>
      <w:r w:rsidR="001B623C" w:rsidRPr="00217855">
        <w:rPr>
          <w:color w:val="000000" w:themeColor="text1"/>
          <w:sz w:val="22"/>
          <w:szCs w:val="22"/>
        </w:rPr>
        <w:t xml:space="preserve"> </w:t>
      </w:r>
      <w:r w:rsidR="00F27CFB" w:rsidRPr="00217855">
        <w:rPr>
          <w:color w:val="000000" w:themeColor="text1"/>
          <w:sz w:val="22"/>
          <w:szCs w:val="22"/>
        </w:rPr>
        <w:t xml:space="preserve">las denuncias </w:t>
      </w:r>
      <w:r w:rsidRPr="00217855">
        <w:rPr>
          <w:color w:val="000000" w:themeColor="text1"/>
          <w:sz w:val="22"/>
          <w:szCs w:val="22"/>
        </w:rPr>
        <w:t>ciudadanas</w:t>
      </w:r>
      <w:r w:rsidR="00C60149" w:rsidRPr="00217855">
        <w:rPr>
          <w:color w:val="000000" w:themeColor="text1"/>
          <w:sz w:val="22"/>
          <w:szCs w:val="22"/>
        </w:rPr>
        <w:t xml:space="preserve"> recibidas;</w:t>
      </w:r>
    </w:p>
    <w:p w:rsidR="008C7287" w:rsidRPr="00217855" w:rsidRDefault="008C7287" w:rsidP="00CD4422">
      <w:pPr>
        <w:pStyle w:val="Default"/>
        <w:jc w:val="both"/>
        <w:rPr>
          <w:color w:val="000000" w:themeColor="text1"/>
          <w:sz w:val="22"/>
          <w:szCs w:val="22"/>
        </w:rPr>
      </w:pPr>
    </w:p>
    <w:p w:rsidR="008C7287" w:rsidRPr="00217855" w:rsidRDefault="008C7287" w:rsidP="00CD4422">
      <w:pPr>
        <w:pStyle w:val="Default"/>
        <w:jc w:val="both"/>
        <w:rPr>
          <w:color w:val="000000" w:themeColor="text1"/>
          <w:sz w:val="22"/>
          <w:szCs w:val="22"/>
        </w:rPr>
      </w:pPr>
      <w:r w:rsidRPr="00217855">
        <w:rPr>
          <w:color w:val="000000" w:themeColor="text1"/>
          <w:sz w:val="22"/>
          <w:szCs w:val="22"/>
        </w:rPr>
        <w:t xml:space="preserve">III. Determinar el </w:t>
      </w:r>
      <w:proofErr w:type="spellStart"/>
      <w:r w:rsidRPr="00217855">
        <w:rPr>
          <w:color w:val="000000" w:themeColor="text1"/>
          <w:sz w:val="22"/>
          <w:szCs w:val="22"/>
        </w:rPr>
        <w:t>desechamiento</w:t>
      </w:r>
      <w:proofErr w:type="spellEnd"/>
      <w:r w:rsidRPr="00217855">
        <w:rPr>
          <w:color w:val="000000" w:themeColor="text1"/>
          <w:sz w:val="22"/>
          <w:szCs w:val="22"/>
        </w:rPr>
        <w:t xml:space="preserve"> de las denuncias ciudadanas, cuando </w:t>
      </w:r>
      <w:r w:rsidR="00C2437C" w:rsidRPr="00217855">
        <w:rPr>
          <w:color w:val="000000" w:themeColor="text1"/>
          <w:sz w:val="22"/>
          <w:szCs w:val="22"/>
        </w:rPr>
        <w:t xml:space="preserve">de </w:t>
      </w:r>
      <w:r w:rsidRPr="00217855">
        <w:rPr>
          <w:color w:val="000000" w:themeColor="text1"/>
          <w:sz w:val="22"/>
          <w:szCs w:val="22"/>
        </w:rPr>
        <w:t>los hechos narrados</w:t>
      </w:r>
      <w:r w:rsidR="00C2437C" w:rsidRPr="00217855">
        <w:rPr>
          <w:color w:val="000000" w:themeColor="text1"/>
          <w:sz w:val="22"/>
          <w:szCs w:val="22"/>
        </w:rPr>
        <w:t>,</w:t>
      </w:r>
      <w:r w:rsidRPr="00217855">
        <w:rPr>
          <w:color w:val="000000" w:themeColor="text1"/>
          <w:sz w:val="22"/>
          <w:szCs w:val="22"/>
        </w:rPr>
        <w:t xml:space="preserve"> no </w:t>
      </w:r>
      <w:r w:rsidR="00C2437C" w:rsidRPr="00217855">
        <w:rPr>
          <w:color w:val="000000" w:themeColor="text1"/>
          <w:sz w:val="22"/>
          <w:szCs w:val="22"/>
        </w:rPr>
        <w:t xml:space="preserve">se </w:t>
      </w:r>
      <w:r w:rsidRPr="00217855">
        <w:rPr>
          <w:color w:val="000000" w:themeColor="text1"/>
          <w:sz w:val="22"/>
          <w:szCs w:val="22"/>
        </w:rPr>
        <w:t xml:space="preserve">demuestre </w:t>
      </w:r>
      <w:r w:rsidR="00C2437C" w:rsidRPr="00217855">
        <w:rPr>
          <w:color w:val="000000" w:themeColor="text1"/>
          <w:sz w:val="22"/>
          <w:szCs w:val="22"/>
        </w:rPr>
        <w:t>contravención a</w:t>
      </w:r>
      <w:r w:rsidRPr="00217855">
        <w:rPr>
          <w:color w:val="000000" w:themeColor="text1"/>
          <w:sz w:val="22"/>
          <w:szCs w:val="22"/>
        </w:rPr>
        <w:t xml:space="preserve"> las disposiciones de la Ley General de Asentamientos Humanos, Ordenamiento Territorial y Desarrollo Urbano, las normas oficiales mexicanas o los planes</w:t>
      </w:r>
      <w:r w:rsidR="00C60149" w:rsidRPr="00217855">
        <w:rPr>
          <w:color w:val="000000" w:themeColor="text1"/>
          <w:sz w:val="22"/>
          <w:szCs w:val="22"/>
        </w:rPr>
        <w:t xml:space="preserve"> y programas </w:t>
      </w:r>
      <w:r w:rsidR="00C84180">
        <w:rPr>
          <w:color w:val="000000" w:themeColor="text1"/>
          <w:sz w:val="22"/>
          <w:szCs w:val="22"/>
        </w:rPr>
        <w:t>previstos en dicha Ley</w:t>
      </w:r>
      <w:r w:rsidR="00C60149" w:rsidRPr="00217855">
        <w:rPr>
          <w:color w:val="000000" w:themeColor="text1"/>
          <w:sz w:val="22"/>
          <w:szCs w:val="22"/>
        </w:rPr>
        <w:t>;</w:t>
      </w:r>
    </w:p>
    <w:p w:rsidR="001B623C" w:rsidRPr="00217855" w:rsidRDefault="00F27CFB" w:rsidP="00CD4422">
      <w:pPr>
        <w:pStyle w:val="Default"/>
        <w:jc w:val="both"/>
        <w:rPr>
          <w:color w:val="000000" w:themeColor="text1"/>
          <w:sz w:val="22"/>
          <w:szCs w:val="22"/>
        </w:rPr>
      </w:pPr>
      <w:r w:rsidRPr="00217855">
        <w:rPr>
          <w:color w:val="000000" w:themeColor="text1"/>
          <w:sz w:val="22"/>
          <w:szCs w:val="22"/>
        </w:rPr>
        <w:t xml:space="preserve"> </w:t>
      </w:r>
      <w:r w:rsidR="001B623C" w:rsidRPr="00217855">
        <w:rPr>
          <w:color w:val="000000" w:themeColor="text1"/>
          <w:sz w:val="22"/>
          <w:szCs w:val="22"/>
        </w:rPr>
        <w:t xml:space="preserve"> </w:t>
      </w:r>
    </w:p>
    <w:p w:rsidR="00C60149" w:rsidRPr="00217855" w:rsidRDefault="00C2437C" w:rsidP="00C60149">
      <w:pPr>
        <w:pStyle w:val="Default"/>
        <w:tabs>
          <w:tab w:val="left" w:pos="870"/>
        </w:tabs>
        <w:jc w:val="both"/>
        <w:rPr>
          <w:color w:val="000000" w:themeColor="text1"/>
          <w:sz w:val="22"/>
          <w:szCs w:val="22"/>
        </w:rPr>
      </w:pPr>
      <w:r w:rsidRPr="00217855">
        <w:rPr>
          <w:color w:val="000000" w:themeColor="text1"/>
          <w:sz w:val="22"/>
          <w:szCs w:val="22"/>
        </w:rPr>
        <w:t>IV</w:t>
      </w:r>
      <w:r w:rsidR="00F27CFB" w:rsidRPr="00217855">
        <w:rPr>
          <w:color w:val="000000" w:themeColor="text1"/>
          <w:sz w:val="22"/>
          <w:szCs w:val="22"/>
        </w:rPr>
        <w:t>.</w:t>
      </w:r>
      <w:r w:rsidR="00C60149" w:rsidRPr="00217855">
        <w:rPr>
          <w:color w:val="000000" w:themeColor="text1"/>
          <w:sz w:val="22"/>
          <w:szCs w:val="22"/>
        </w:rPr>
        <w:t xml:space="preserve"> Coordinarse con las autoridades locales, para la atención de las denuncias ciudadanas;</w:t>
      </w:r>
    </w:p>
    <w:p w:rsidR="00C60149" w:rsidRPr="00217855" w:rsidRDefault="00C60149" w:rsidP="00C2437C">
      <w:pPr>
        <w:pStyle w:val="Default"/>
        <w:jc w:val="both"/>
        <w:rPr>
          <w:color w:val="000000" w:themeColor="text1"/>
          <w:sz w:val="22"/>
          <w:szCs w:val="22"/>
        </w:rPr>
      </w:pPr>
    </w:p>
    <w:p w:rsidR="00C2437C" w:rsidRPr="00217855" w:rsidRDefault="00C60149" w:rsidP="00C2437C">
      <w:pPr>
        <w:pStyle w:val="Default"/>
        <w:jc w:val="both"/>
        <w:rPr>
          <w:color w:val="000000" w:themeColor="text1"/>
          <w:sz w:val="22"/>
          <w:szCs w:val="22"/>
        </w:rPr>
      </w:pPr>
      <w:r w:rsidRPr="00217855">
        <w:rPr>
          <w:color w:val="000000" w:themeColor="text1"/>
          <w:sz w:val="22"/>
          <w:szCs w:val="22"/>
        </w:rPr>
        <w:lastRenderedPageBreak/>
        <w:t>V. Tomar las medidas necesarias para el pleno ejercicio de los derechos humanos relacionados con el ordenamiento territorial y el desarrollo urbano, emitiendo en su caso,  las recomendaciones procedentes, y</w:t>
      </w:r>
      <w:r w:rsidR="008C7287" w:rsidRPr="00217855">
        <w:rPr>
          <w:color w:val="000000" w:themeColor="text1"/>
          <w:sz w:val="22"/>
          <w:szCs w:val="22"/>
        </w:rPr>
        <w:t xml:space="preserve">  </w:t>
      </w:r>
    </w:p>
    <w:p w:rsidR="00C2437C" w:rsidRPr="00217855" w:rsidRDefault="00C2437C" w:rsidP="00C2437C">
      <w:pPr>
        <w:pStyle w:val="Default"/>
        <w:ind w:left="1416" w:hanging="1416"/>
        <w:jc w:val="both"/>
        <w:rPr>
          <w:color w:val="000000" w:themeColor="text1"/>
          <w:sz w:val="22"/>
          <w:szCs w:val="22"/>
        </w:rPr>
      </w:pPr>
    </w:p>
    <w:p w:rsidR="00F27CFB" w:rsidRPr="00217855" w:rsidRDefault="00C2437C" w:rsidP="00C2437C">
      <w:pPr>
        <w:pStyle w:val="Default"/>
        <w:jc w:val="both"/>
        <w:rPr>
          <w:color w:val="000000" w:themeColor="text1"/>
          <w:sz w:val="22"/>
          <w:szCs w:val="22"/>
        </w:rPr>
      </w:pPr>
      <w:r w:rsidRPr="00217855">
        <w:rPr>
          <w:color w:val="000000" w:themeColor="text1"/>
          <w:sz w:val="22"/>
          <w:szCs w:val="22"/>
        </w:rPr>
        <w:t>V</w:t>
      </w:r>
      <w:r w:rsidR="00835632">
        <w:rPr>
          <w:color w:val="000000" w:themeColor="text1"/>
          <w:sz w:val="22"/>
          <w:szCs w:val="22"/>
        </w:rPr>
        <w:t>I</w:t>
      </w:r>
      <w:r w:rsidRPr="00217855">
        <w:rPr>
          <w:color w:val="000000" w:themeColor="text1"/>
          <w:sz w:val="22"/>
          <w:szCs w:val="22"/>
        </w:rPr>
        <w:t>. Hacer del conocimiento público el incumplimiento</w:t>
      </w:r>
      <w:r w:rsidR="008C7287" w:rsidRPr="00217855">
        <w:rPr>
          <w:color w:val="000000" w:themeColor="text1"/>
          <w:sz w:val="22"/>
          <w:szCs w:val="22"/>
        </w:rPr>
        <w:t xml:space="preserve"> </w:t>
      </w:r>
      <w:r w:rsidRPr="00217855">
        <w:rPr>
          <w:color w:val="000000" w:themeColor="text1"/>
          <w:sz w:val="22"/>
          <w:szCs w:val="22"/>
        </w:rPr>
        <w:t>de las recomendaciones a que se refiere la Ley General de Asentamientos Humanos, Ordenamiento Territorial y Desarrollo Urbano.</w:t>
      </w:r>
    </w:p>
    <w:p w:rsidR="00CD4422" w:rsidRPr="00217855" w:rsidRDefault="00CD4422" w:rsidP="00CD4422">
      <w:pPr>
        <w:pStyle w:val="Default"/>
        <w:spacing w:after="32"/>
        <w:jc w:val="both"/>
        <w:rPr>
          <w:color w:val="000000" w:themeColor="text1"/>
          <w:sz w:val="22"/>
          <w:szCs w:val="22"/>
        </w:rPr>
      </w:pPr>
    </w:p>
    <w:p w:rsidR="00CD4422" w:rsidRPr="00217855" w:rsidRDefault="00CD4422" w:rsidP="00CD4422">
      <w:pPr>
        <w:pStyle w:val="Default"/>
        <w:jc w:val="both"/>
        <w:rPr>
          <w:color w:val="000000" w:themeColor="text1"/>
          <w:sz w:val="22"/>
          <w:szCs w:val="22"/>
        </w:rPr>
      </w:pPr>
      <w:r w:rsidRPr="00217855">
        <w:rPr>
          <w:b/>
          <w:color w:val="000000" w:themeColor="text1"/>
          <w:sz w:val="22"/>
          <w:szCs w:val="22"/>
        </w:rPr>
        <w:t xml:space="preserve">Artículo </w:t>
      </w:r>
      <w:r w:rsidR="00C2437C" w:rsidRPr="00217855">
        <w:rPr>
          <w:b/>
          <w:color w:val="000000" w:themeColor="text1"/>
          <w:sz w:val="22"/>
          <w:szCs w:val="22"/>
        </w:rPr>
        <w:t>5</w:t>
      </w:r>
      <w:r w:rsidRPr="00217855">
        <w:rPr>
          <w:color w:val="000000" w:themeColor="text1"/>
          <w:sz w:val="22"/>
          <w:szCs w:val="22"/>
        </w:rPr>
        <w:t xml:space="preserve">.- El Secretario </w:t>
      </w:r>
      <w:r w:rsidR="00C60149" w:rsidRPr="00217855">
        <w:rPr>
          <w:color w:val="000000" w:themeColor="text1"/>
          <w:sz w:val="22"/>
          <w:szCs w:val="22"/>
        </w:rPr>
        <w:t>Técnico</w:t>
      </w:r>
      <w:r w:rsidRPr="00217855">
        <w:rPr>
          <w:color w:val="000000" w:themeColor="text1"/>
          <w:sz w:val="22"/>
          <w:szCs w:val="22"/>
        </w:rPr>
        <w:t xml:space="preserve"> tendrá las siguientes atribuciones: </w:t>
      </w:r>
    </w:p>
    <w:p w:rsidR="00CD4422" w:rsidRPr="00217855" w:rsidRDefault="00CD4422" w:rsidP="00CD4422">
      <w:pPr>
        <w:pStyle w:val="Default"/>
        <w:jc w:val="both"/>
        <w:rPr>
          <w:color w:val="000000" w:themeColor="text1"/>
          <w:sz w:val="22"/>
          <w:szCs w:val="22"/>
        </w:rPr>
      </w:pPr>
    </w:p>
    <w:p w:rsidR="00CD4422" w:rsidRPr="00217855" w:rsidRDefault="00CD4422" w:rsidP="00CD4422">
      <w:pPr>
        <w:pStyle w:val="Default"/>
        <w:jc w:val="both"/>
        <w:rPr>
          <w:color w:val="000000" w:themeColor="text1"/>
          <w:sz w:val="22"/>
          <w:szCs w:val="22"/>
        </w:rPr>
      </w:pPr>
      <w:r w:rsidRPr="003071C6">
        <w:rPr>
          <w:color w:val="000000" w:themeColor="text1"/>
          <w:sz w:val="22"/>
          <w:szCs w:val="22"/>
        </w:rPr>
        <w:t>I.</w:t>
      </w:r>
      <w:r w:rsidR="005F6C3C" w:rsidRPr="00217855">
        <w:rPr>
          <w:color w:val="000000" w:themeColor="text1"/>
          <w:sz w:val="22"/>
          <w:szCs w:val="22"/>
        </w:rPr>
        <w:t xml:space="preserve"> A solicitud del Presidente, c</w:t>
      </w:r>
      <w:r w:rsidRPr="00217855">
        <w:rPr>
          <w:color w:val="000000" w:themeColor="text1"/>
          <w:sz w:val="22"/>
          <w:szCs w:val="22"/>
        </w:rPr>
        <w:t>onvocar a los int</w:t>
      </w:r>
      <w:r w:rsidR="009F05FA" w:rsidRPr="00217855">
        <w:rPr>
          <w:color w:val="000000" w:themeColor="text1"/>
          <w:sz w:val="22"/>
          <w:szCs w:val="22"/>
        </w:rPr>
        <w:t>egrantes del Comité e invitados</w:t>
      </w:r>
      <w:r w:rsidRPr="00217855">
        <w:rPr>
          <w:color w:val="000000" w:themeColor="text1"/>
          <w:sz w:val="22"/>
          <w:szCs w:val="22"/>
        </w:rPr>
        <w:t xml:space="preserve"> a las sesiones; </w:t>
      </w:r>
    </w:p>
    <w:p w:rsidR="00CD4422" w:rsidRPr="00217855" w:rsidRDefault="00CD4422" w:rsidP="00CD4422">
      <w:pPr>
        <w:pStyle w:val="Default"/>
        <w:jc w:val="both"/>
        <w:rPr>
          <w:color w:val="000000" w:themeColor="text1"/>
          <w:sz w:val="22"/>
          <w:szCs w:val="22"/>
        </w:rPr>
      </w:pPr>
    </w:p>
    <w:p w:rsidR="00CD4422" w:rsidRPr="00217855" w:rsidRDefault="003071C6" w:rsidP="00CD4422">
      <w:pPr>
        <w:pStyle w:val="Default"/>
        <w:jc w:val="both"/>
        <w:rPr>
          <w:color w:val="000000" w:themeColor="text1"/>
          <w:sz w:val="22"/>
          <w:szCs w:val="22"/>
        </w:rPr>
      </w:pPr>
      <w:r w:rsidRPr="003071C6">
        <w:rPr>
          <w:color w:val="000000" w:themeColor="text1"/>
          <w:sz w:val="22"/>
          <w:szCs w:val="22"/>
        </w:rPr>
        <w:t>II</w:t>
      </w:r>
      <w:r w:rsidR="00CD4422" w:rsidRPr="003071C6">
        <w:rPr>
          <w:color w:val="000000" w:themeColor="text1"/>
          <w:sz w:val="22"/>
          <w:szCs w:val="22"/>
        </w:rPr>
        <w:t>.</w:t>
      </w:r>
      <w:r w:rsidR="00CD4422" w:rsidRPr="00217855">
        <w:rPr>
          <w:color w:val="000000" w:themeColor="text1"/>
          <w:sz w:val="22"/>
          <w:szCs w:val="22"/>
        </w:rPr>
        <w:t xml:space="preserve"> </w:t>
      </w:r>
      <w:r w:rsidR="006C6AD4" w:rsidRPr="00217855">
        <w:rPr>
          <w:color w:val="000000" w:themeColor="text1"/>
          <w:sz w:val="22"/>
          <w:szCs w:val="22"/>
        </w:rPr>
        <w:t>A</w:t>
      </w:r>
      <w:r w:rsidR="00CD4422" w:rsidRPr="00217855">
        <w:rPr>
          <w:color w:val="000000" w:themeColor="text1"/>
          <w:sz w:val="22"/>
          <w:szCs w:val="22"/>
        </w:rPr>
        <w:t>creditar la personalidad de los integrantes d</w:t>
      </w:r>
      <w:r w:rsidR="00A607FE" w:rsidRPr="00217855">
        <w:rPr>
          <w:color w:val="000000" w:themeColor="text1"/>
          <w:sz w:val="22"/>
          <w:szCs w:val="22"/>
        </w:rPr>
        <w:t xml:space="preserve">el Comité </w:t>
      </w:r>
      <w:r w:rsidR="00CD4422" w:rsidRPr="00217855">
        <w:rPr>
          <w:color w:val="000000" w:themeColor="text1"/>
          <w:sz w:val="22"/>
          <w:szCs w:val="22"/>
        </w:rPr>
        <w:t xml:space="preserve">y determinar la existencia del quórum indispensable para la celebración de </w:t>
      </w:r>
      <w:r w:rsidR="009F05FA" w:rsidRPr="00217855">
        <w:rPr>
          <w:color w:val="000000" w:themeColor="text1"/>
          <w:sz w:val="22"/>
          <w:szCs w:val="22"/>
        </w:rPr>
        <w:t>sus</w:t>
      </w:r>
      <w:r w:rsidR="00CD4422" w:rsidRPr="00217855">
        <w:rPr>
          <w:color w:val="000000" w:themeColor="text1"/>
          <w:sz w:val="22"/>
          <w:szCs w:val="22"/>
        </w:rPr>
        <w:t xml:space="preserve"> sesiones; </w:t>
      </w:r>
    </w:p>
    <w:p w:rsidR="00CD4422" w:rsidRPr="00217855" w:rsidRDefault="00CD4422" w:rsidP="00CD4422">
      <w:pPr>
        <w:pStyle w:val="Default"/>
        <w:jc w:val="both"/>
        <w:rPr>
          <w:color w:val="000000" w:themeColor="text1"/>
          <w:sz w:val="22"/>
          <w:szCs w:val="22"/>
        </w:rPr>
      </w:pPr>
    </w:p>
    <w:p w:rsidR="00CD4422" w:rsidRPr="00217855" w:rsidRDefault="003071C6" w:rsidP="00CD4422">
      <w:pPr>
        <w:pStyle w:val="Default"/>
        <w:jc w:val="both"/>
        <w:rPr>
          <w:color w:val="000000" w:themeColor="text1"/>
          <w:sz w:val="22"/>
          <w:szCs w:val="22"/>
        </w:rPr>
      </w:pPr>
      <w:r w:rsidRPr="003071C6">
        <w:rPr>
          <w:color w:val="000000" w:themeColor="text1"/>
          <w:sz w:val="22"/>
          <w:szCs w:val="22"/>
        </w:rPr>
        <w:t>III</w:t>
      </w:r>
      <w:r w:rsidR="00CD4422" w:rsidRPr="003071C6">
        <w:rPr>
          <w:color w:val="000000" w:themeColor="text1"/>
          <w:sz w:val="22"/>
          <w:szCs w:val="22"/>
        </w:rPr>
        <w:t>.</w:t>
      </w:r>
      <w:r w:rsidR="00CD4422" w:rsidRPr="00217855">
        <w:rPr>
          <w:color w:val="000000" w:themeColor="text1"/>
          <w:sz w:val="22"/>
          <w:szCs w:val="22"/>
        </w:rPr>
        <w:t xml:space="preserve"> Dar </w:t>
      </w:r>
      <w:r w:rsidR="006C6AD4" w:rsidRPr="00217855">
        <w:rPr>
          <w:color w:val="000000" w:themeColor="text1"/>
          <w:sz w:val="22"/>
          <w:szCs w:val="22"/>
        </w:rPr>
        <w:t xml:space="preserve">seguimiento a los </w:t>
      </w:r>
      <w:r w:rsidR="009F05FA" w:rsidRPr="00217855">
        <w:rPr>
          <w:color w:val="000000" w:themeColor="text1"/>
          <w:sz w:val="22"/>
          <w:szCs w:val="22"/>
        </w:rPr>
        <w:t>Acuerdos</w:t>
      </w:r>
      <w:r w:rsidR="00A607FE" w:rsidRPr="00217855">
        <w:rPr>
          <w:color w:val="000000" w:themeColor="text1"/>
          <w:sz w:val="22"/>
          <w:szCs w:val="22"/>
        </w:rPr>
        <w:t xml:space="preserve"> del Comité</w:t>
      </w:r>
      <w:r w:rsidR="006C6AD4" w:rsidRPr="00217855">
        <w:rPr>
          <w:b/>
          <w:color w:val="000000" w:themeColor="text1"/>
          <w:sz w:val="22"/>
          <w:szCs w:val="22"/>
        </w:rPr>
        <w:t xml:space="preserve"> </w:t>
      </w:r>
      <w:r w:rsidR="006C6AD4" w:rsidRPr="00217855">
        <w:rPr>
          <w:color w:val="000000" w:themeColor="text1"/>
          <w:sz w:val="22"/>
          <w:szCs w:val="22"/>
        </w:rPr>
        <w:t>hasta su conclusión</w:t>
      </w:r>
      <w:r w:rsidR="009F05FA" w:rsidRPr="00217855">
        <w:rPr>
          <w:color w:val="000000" w:themeColor="text1"/>
          <w:sz w:val="22"/>
          <w:szCs w:val="22"/>
        </w:rPr>
        <w:t xml:space="preserve">; </w:t>
      </w:r>
      <w:r w:rsidR="00CD4422" w:rsidRPr="00217855">
        <w:rPr>
          <w:color w:val="000000" w:themeColor="text1"/>
          <w:sz w:val="22"/>
          <w:szCs w:val="22"/>
        </w:rPr>
        <w:t xml:space="preserve"> </w:t>
      </w:r>
    </w:p>
    <w:p w:rsidR="00CD4422" w:rsidRPr="00217855" w:rsidRDefault="00CD4422" w:rsidP="00CD4422">
      <w:pPr>
        <w:pStyle w:val="Default"/>
        <w:jc w:val="both"/>
        <w:rPr>
          <w:color w:val="000000" w:themeColor="text1"/>
          <w:sz w:val="22"/>
          <w:szCs w:val="22"/>
        </w:rPr>
      </w:pPr>
    </w:p>
    <w:p w:rsidR="009F05FA" w:rsidRPr="00217855" w:rsidRDefault="003071C6" w:rsidP="00CD4422">
      <w:pPr>
        <w:pStyle w:val="Default"/>
        <w:jc w:val="both"/>
        <w:rPr>
          <w:color w:val="000000" w:themeColor="text1"/>
          <w:sz w:val="22"/>
          <w:szCs w:val="22"/>
        </w:rPr>
      </w:pPr>
      <w:r w:rsidRPr="003071C6">
        <w:rPr>
          <w:color w:val="000000" w:themeColor="text1"/>
          <w:sz w:val="22"/>
          <w:szCs w:val="22"/>
        </w:rPr>
        <w:t>I</w:t>
      </w:r>
      <w:r w:rsidR="00CD4422" w:rsidRPr="003071C6">
        <w:rPr>
          <w:color w:val="000000" w:themeColor="text1"/>
          <w:sz w:val="22"/>
          <w:szCs w:val="22"/>
        </w:rPr>
        <w:t>V.</w:t>
      </w:r>
      <w:r w:rsidR="00CD4422" w:rsidRPr="00217855">
        <w:rPr>
          <w:color w:val="000000" w:themeColor="text1"/>
          <w:sz w:val="22"/>
          <w:szCs w:val="22"/>
        </w:rPr>
        <w:t xml:space="preserve"> </w:t>
      </w:r>
      <w:r w:rsidR="006C6AD4" w:rsidRPr="00217855">
        <w:rPr>
          <w:color w:val="000000" w:themeColor="text1"/>
          <w:sz w:val="22"/>
          <w:szCs w:val="22"/>
        </w:rPr>
        <w:t>Elaborar las Actas de las Sesiones</w:t>
      </w:r>
      <w:r w:rsidR="009F05FA" w:rsidRPr="00217855">
        <w:rPr>
          <w:color w:val="000000" w:themeColor="text1"/>
          <w:sz w:val="22"/>
          <w:szCs w:val="22"/>
        </w:rPr>
        <w:t xml:space="preserve">, y </w:t>
      </w:r>
    </w:p>
    <w:p w:rsidR="009F05FA" w:rsidRPr="00217855" w:rsidRDefault="009F05FA" w:rsidP="00CD4422">
      <w:pPr>
        <w:pStyle w:val="Default"/>
        <w:jc w:val="both"/>
        <w:rPr>
          <w:color w:val="000000" w:themeColor="text1"/>
          <w:sz w:val="22"/>
          <w:szCs w:val="22"/>
        </w:rPr>
      </w:pPr>
    </w:p>
    <w:p w:rsidR="00CD4422" w:rsidRPr="00217855" w:rsidRDefault="003071C6" w:rsidP="00CD4422">
      <w:pPr>
        <w:pStyle w:val="Default"/>
        <w:jc w:val="both"/>
        <w:rPr>
          <w:color w:val="000000" w:themeColor="text1"/>
          <w:sz w:val="22"/>
          <w:szCs w:val="22"/>
        </w:rPr>
      </w:pPr>
      <w:r w:rsidRPr="003071C6">
        <w:rPr>
          <w:color w:val="000000" w:themeColor="text1"/>
          <w:sz w:val="22"/>
          <w:szCs w:val="22"/>
        </w:rPr>
        <w:t>V.</w:t>
      </w:r>
      <w:r w:rsidR="009F05FA" w:rsidRPr="00217855">
        <w:rPr>
          <w:color w:val="000000" w:themeColor="text1"/>
          <w:sz w:val="22"/>
          <w:szCs w:val="22"/>
        </w:rPr>
        <w:t xml:space="preserve"> </w:t>
      </w:r>
      <w:r w:rsidR="006C6AD4" w:rsidRPr="00217855">
        <w:rPr>
          <w:color w:val="000000" w:themeColor="text1"/>
          <w:sz w:val="22"/>
          <w:szCs w:val="22"/>
        </w:rPr>
        <w:t xml:space="preserve">Las demás que determine </w:t>
      </w:r>
      <w:r w:rsidR="00A607FE" w:rsidRPr="00217855">
        <w:rPr>
          <w:color w:val="000000" w:themeColor="text1"/>
          <w:sz w:val="22"/>
          <w:szCs w:val="22"/>
        </w:rPr>
        <w:t>el Comité</w:t>
      </w:r>
      <w:r w:rsidR="006C6AD4" w:rsidRPr="00217855">
        <w:rPr>
          <w:b/>
          <w:color w:val="000000" w:themeColor="text1"/>
          <w:sz w:val="22"/>
          <w:szCs w:val="22"/>
        </w:rPr>
        <w:t>.</w:t>
      </w:r>
      <w:r w:rsidR="00CD4422" w:rsidRPr="00217855">
        <w:rPr>
          <w:color w:val="000000" w:themeColor="text1"/>
          <w:sz w:val="22"/>
          <w:szCs w:val="22"/>
        </w:rPr>
        <w:t xml:space="preserve"> </w:t>
      </w:r>
    </w:p>
    <w:p w:rsidR="00CD4422" w:rsidRPr="00217855" w:rsidRDefault="00CD4422" w:rsidP="00CD4422">
      <w:pPr>
        <w:pStyle w:val="Default"/>
        <w:jc w:val="both"/>
        <w:rPr>
          <w:color w:val="000000" w:themeColor="text1"/>
          <w:sz w:val="22"/>
          <w:szCs w:val="22"/>
        </w:rPr>
      </w:pPr>
    </w:p>
    <w:p w:rsidR="00CD4422" w:rsidRPr="00217855" w:rsidRDefault="00CD4422" w:rsidP="00CD4422">
      <w:pPr>
        <w:pStyle w:val="Default"/>
        <w:jc w:val="both"/>
        <w:rPr>
          <w:color w:val="000000" w:themeColor="text1"/>
          <w:sz w:val="22"/>
          <w:szCs w:val="22"/>
        </w:rPr>
      </w:pPr>
      <w:r w:rsidRPr="00217855">
        <w:rPr>
          <w:b/>
          <w:color w:val="000000" w:themeColor="text1"/>
          <w:sz w:val="22"/>
          <w:szCs w:val="22"/>
        </w:rPr>
        <w:t xml:space="preserve">Artículo </w:t>
      </w:r>
      <w:r w:rsidR="009F05FA" w:rsidRPr="00217855">
        <w:rPr>
          <w:b/>
          <w:color w:val="000000" w:themeColor="text1"/>
          <w:sz w:val="22"/>
          <w:szCs w:val="22"/>
        </w:rPr>
        <w:t>6</w:t>
      </w:r>
      <w:r w:rsidRPr="00217855">
        <w:rPr>
          <w:color w:val="000000" w:themeColor="text1"/>
          <w:sz w:val="22"/>
          <w:szCs w:val="22"/>
        </w:rPr>
        <w:t xml:space="preserve">.- Las actas y acuerdos del Comité se establecerán por escrito y se firmarán por los asistentes que hayan participado en la sesión que corresponda. El Secretario </w:t>
      </w:r>
      <w:r w:rsidR="009F05FA" w:rsidRPr="00217855">
        <w:rPr>
          <w:color w:val="000000" w:themeColor="text1"/>
          <w:sz w:val="22"/>
          <w:szCs w:val="22"/>
        </w:rPr>
        <w:t>Técnico</w:t>
      </w:r>
      <w:r w:rsidRPr="00217855">
        <w:rPr>
          <w:color w:val="000000" w:themeColor="text1"/>
          <w:sz w:val="22"/>
          <w:szCs w:val="22"/>
        </w:rPr>
        <w:t>, llevará el registro consecutivo de los acuerdos tomados en todas las sesiones, a fin de facilitar su control y seguimiento</w:t>
      </w:r>
      <w:r w:rsidR="00F7459E" w:rsidRPr="00217855">
        <w:rPr>
          <w:color w:val="000000" w:themeColor="text1"/>
          <w:sz w:val="22"/>
          <w:szCs w:val="22"/>
        </w:rPr>
        <w:t>,</w:t>
      </w:r>
      <w:r w:rsidRPr="00217855">
        <w:rPr>
          <w:color w:val="000000" w:themeColor="text1"/>
          <w:sz w:val="22"/>
          <w:szCs w:val="22"/>
        </w:rPr>
        <w:t xml:space="preserve"> y hará entrega de una copia de las actas a cada uno de los miembros del Comité</w:t>
      </w:r>
      <w:r w:rsidR="00F7459E" w:rsidRPr="00217855">
        <w:rPr>
          <w:color w:val="000000" w:themeColor="text1"/>
          <w:sz w:val="22"/>
          <w:szCs w:val="22"/>
        </w:rPr>
        <w:t xml:space="preserve">, pudiéndolas enviar </w:t>
      </w:r>
      <w:r w:rsidRPr="00217855">
        <w:rPr>
          <w:color w:val="000000" w:themeColor="text1"/>
          <w:sz w:val="22"/>
          <w:szCs w:val="22"/>
        </w:rPr>
        <w:t>por correo electrónico.</w:t>
      </w:r>
    </w:p>
    <w:p w:rsidR="00CD4422" w:rsidRPr="00217855" w:rsidRDefault="009F05FA" w:rsidP="009F05FA">
      <w:pPr>
        <w:pStyle w:val="Default"/>
        <w:tabs>
          <w:tab w:val="left" w:pos="5633"/>
        </w:tabs>
        <w:jc w:val="both"/>
        <w:rPr>
          <w:color w:val="000000" w:themeColor="text1"/>
          <w:sz w:val="22"/>
          <w:szCs w:val="22"/>
        </w:rPr>
      </w:pPr>
      <w:r w:rsidRPr="00217855">
        <w:rPr>
          <w:color w:val="000000" w:themeColor="text1"/>
          <w:sz w:val="22"/>
          <w:szCs w:val="22"/>
        </w:rPr>
        <w:tab/>
      </w:r>
    </w:p>
    <w:p w:rsidR="00191BBC" w:rsidRPr="00217855" w:rsidRDefault="009F05FA" w:rsidP="00191BBC">
      <w:pPr>
        <w:pStyle w:val="Default"/>
        <w:tabs>
          <w:tab w:val="left" w:pos="5633"/>
        </w:tabs>
        <w:jc w:val="both"/>
        <w:rPr>
          <w:color w:val="000000" w:themeColor="text1"/>
          <w:sz w:val="22"/>
          <w:szCs w:val="22"/>
        </w:rPr>
      </w:pPr>
      <w:r w:rsidRPr="00217855">
        <w:rPr>
          <w:b/>
          <w:color w:val="000000" w:themeColor="text1"/>
          <w:sz w:val="22"/>
          <w:szCs w:val="22"/>
        </w:rPr>
        <w:t xml:space="preserve">Artículo 7.- </w:t>
      </w:r>
      <w:r w:rsidR="00191BBC" w:rsidRPr="00217855">
        <w:rPr>
          <w:color w:val="000000" w:themeColor="text1"/>
          <w:sz w:val="22"/>
          <w:szCs w:val="22"/>
        </w:rPr>
        <w:t>La denuncia ciudadana se recibirá por escrito en las oficinas que ocupa</w:t>
      </w:r>
      <w:r w:rsidR="00C84180">
        <w:rPr>
          <w:color w:val="000000" w:themeColor="text1"/>
          <w:sz w:val="22"/>
          <w:szCs w:val="22"/>
        </w:rPr>
        <w:t>n las delegaciones y residencias de</w:t>
      </w:r>
      <w:r w:rsidR="00191BBC" w:rsidRPr="00217855">
        <w:rPr>
          <w:color w:val="000000" w:themeColor="text1"/>
          <w:sz w:val="22"/>
          <w:szCs w:val="22"/>
        </w:rPr>
        <w:t xml:space="preserve"> la Procuraduría Agraria, </w:t>
      </w:r>
      <w:r w:rsidR="003071C6">
        <w:rPr>
          <w:color w:val="000000" w:themeColor="text1"/>
          <w:sz w:val="22"/>
          <w:szCs w:val="22"/>
        </w:rPr>
        <w:t xml:space="preserve">y </w:t>
      </w:r>
      <w:r w:rsidR="00191BBC" w:rsidRPr="00217855">
        <w:rPr>
          <w:color w:val="000000" w:themeColor="text1"/>
          <w:sz w:val="22"/>
          <w:szCs w:val="22"/>
        </w:rPr>
        <w:t xml:space="preserve">en medio electrónico al correo  </w:t>
      </w:r>
      <w:hyperlink r:id="rId8" w:history="1">
        <w:r w:rsidR="00444B74" w:rsidRPr="004604C7">
          <w:rPr>
            <w:rStyle w:val="Hipervnculo"/>
            <w:sz w:val="22"/>
            <w:szCs w:val="22"/>
          </w:rPr>
          <w:t>denunciaciudadana@pa.gob.mx</w:t>
        </w:r>
      </w:hyperlink>
      <w:r w:rsidR="00191BBC" w:rsidRPr="00217855">
        <w:rPr>
          <w:color w:val="000000" w:themeColor="text1"/>
          <w:sz w:val="22"/>
          <w:szCs w:val="22"/>
        </w:rPr>
        <w:t xml:space="preserve"> y deberá contener:</w:t>
      </w:r>
      <w:bookmarkStart w:id="0" w:name="_GoBack"/>
      <w:bookmarkEnd w:id="0"/>
    </w:p>
    <w:p w:rsidR="00191BBC" w:rsidRPr="00217855" w:rsidRDefault="00191BBC" w:rsidP="00191BBC">
      <w:pPr>
        <w:pStyle w:val="Default"/>
        <w:tabs>
          <w:tab w:val="left" w:pos="5633"/>
        </w:tabs>
        <w:jc w:val="both"/>
        <w:rPr>
          <w:color w:val="000000" w:themeColor="text1"/>
          <w:sz w:val="22"/>
          <w:szCs w:val="22"/>
        </w:rPr>
      </w:pPr>
    </w:p>
    <w:p w:rsidR="00191BBC" w:rsidRPr="00217855" w:rsidRDefault="00191BBC" w:rsidP="00191BBC">
      <w:pPr>
        <w:pStyle w:val="Default"/>
        <w:tabs>
          <w:tab w:val="left" w:pos="5633"/>
        </w:tabs>
        <w:jc w:val="both"/>
        <w:rPr>
          <w:color w:val="000000" w:themeColor="text1"/>
          <w:sz w:val="22"/>
          <w:szCs w:val="22"/>
        </w:rPr>
      </w:pPr>
      <w:r w:rsidRPr="00217855">
        <w:rPr>
          <w:color w:val="000000" w:themeColor="text1"/>
          <w:sz w:val="22"/>
          <w:szCs w:val="22"/>
        </w:rPr>
        <w:t>I. El nombre o razón social, domicilio, teléfono si lo tiene, del denunciante y, en su caso, de su representante legal;</w:t>
      </w:r>
    </w:p>
    <w:p w:rsidR="00191BBC" w:rsidRPr="00217855" w:rsidRDefault="00191BBC" w:rsidP="00191BBC">
      <w:pPr>
        <w:pStyle w:val="Default"/>
        <w:tabs>
          <w:tab w:val="left" w:pos="5633"/>
        </w:tabs>
        <w:jc w:val="both"/>
        <w:rPr>
          <w:color w:val="000000" w:themeColor="text1"/>
          <w:sz w:val="22"/>
          <w:szCs w:val="22"/>
        </w:rPr>
      </w:pPr>
    </w:p>
    <w:p w:rsidR="00191BBC" w:rsidRPr="00217855" w:rsidRDefault="00191BBC" w:rsidP="00191BBC">
      <w:pPr>
        <w:pStyle w:val="Default"/>
        <w:tabs>
          <w:tab w:val="left" w:pos="5633"/>
        </w:tabs>
        <w:jc w:val="both"/>
        <w:rPr>
          <w:color w:val="000000" w:themeColor="text1"/>
          <w:sz w:val="22"/>
          <w:szCs w:val="22"/>
        </w:rPr>
      </w:pPr>
      <w:r w:rsidRPr="00217855">
        <w:rPr>
          <w:color w:val="000000" w:themeColor="text1"/>
          <w:sz w:val="22"/>
          <w:szCs w:val="22"/>
        </w:rPr>
        <w:t>II. Los actos, hechos u omisiones denunciados;</w:t>
      </w:r>
    </w:p>
    <w:p w:rsidR="00191BBC" w:rsidRPr="00217855" w:rsidRDefault="00191BBC" w:rsidP="00191BBC">
      <w:pPr>
        <w:pStyle w:val="Default"/>
        <w:tabs>
          <w:tab w:val="left" w:pos="5633"/>
        </w:tabs>
        <w:jc w:val="both"/>
        <w:rPr>
          <w:color w:val="000000" w:themeColor="text1"/>
          <w:sz w:val="22"/>
          <w:szCs w:val="22"/>
        </w:rPr>
      </w:pPr>
    </w:p>
    <w:p w:rsidR="00191BBC" w:rsidRPr="00217855" w:rsidRDefault="00191BBC" w:rsidP="00191BBC">
      <w:pPr>
        <w:pStyle w:val="Default"/>
        <w:tabs>
          <w:tab w:val="left" w:pos="5633"/>
        </w:tabs>
        <w:jc w:val="both"/>
        <w:rPr>
          <w:color w:val="000000" w:themeColor="text1"/>
          <w:sz w:val="22"/>
          <w:szCs w:val="22"/>
        </w:rPr>
      </w:pPr>
      <w:r w:rsidRPr="00217855">
        <w:rPr>
          <w:color w:val="000000" w:themeColor="text1"/>
          <w:sz w:val="22"/>
          <w:szCs w:val="22"/>
        </w:rPr>
        <w:t>III. Los datos que permitan identificar al presunto infractor, y</w:t>
      </w:r>
    </w:p>
    <w:p w:rsidR="00191BBC" w:rsidRPr="00217855" w:rsidRDefault="00191BBC" w:rsidP="00191BBC">
      <w:pPr>
        <w:pStyle w:val="Default"/>
        <w:tabs>
          <w:tab w:val="left" w:pos="5633"/>
        </w:tabs>
        <w:jc w:val="both"/>
        <w:rPr>
          <w:color w:val="000000" w:themeColor="text1"/>
          <w:sz w:val="22"/>
          <w:szCs w:val="22"/>
        </w:rPr>
      </w:pPr>
    </w:p>
    <w:p w:rsidR="009F05FA" w:rsidRPr="00217855" w:rsidRDefault="00191BBC" w:rsidP="00191BBC">
      <w:pPr>
        <w:pStyle w:val="Default"/>
        <w:tabs>
          <w:tab w:val="left" w:pos="5633"/>
        </w:tabs>
        <w:jc w:val="both"/>
        <w:rPr>
          <w:color w:val="000000" w:themeColor="text1"/>
          <w:sz w:val="22"/>
          <w:szCs w:val="22"/>
        </w:rPr>
      </w:pPr>
      <w:r w:rsidRPr="00217855">
        <w:rPr>
          <w:color w:val="000000" w:themeColor="text1"/>
          <w:sz w:val="22"/>
          <w:szCs w:val="22"/>
        </w:rPr>
        <w:t>IV. Las pruebas que en su caso ofrezca el denunciante.</w:t>
      </w:r>
    </w:p>
    <w:p w:rsidR="00191BBC" w:rsidRPr="00217855" w:rsidRDefault="00191BBC" w:rsidP="00191BBC">
      <w:pPr>
        <w:pStyle w:val="Default"/>
        <w:tabs>
          <w:tab w:val="left" w:pos="5633"/>
        </w:tabs>
        <w:jc w:val="both"/>
        <w:rPr>
          <w:color w:val="000000" w:themeColor="text1"/>
          <w:sz w:val="22"/>
          <w:szCs w:val="22"/>
        </w:rPr>
      </w:pPr>
    </w:p>
    <w:p w:rsidR="00191BBC" w:rsidRPr="00217855" w:rsidRDefault="00191BBC" w:rsidP="00191BBC">
      <w:pPr>
        <w:pStyle w:val="Default"/>
        <w:tabs>
          <w:tab w:val="left" w:pos="5633"/>
        </w:tabs>
        <w:jc w:val="both"/>
        <w:rPr>
          <w:color w:val="000000" w:themeColor="text1"/>
          <w:sz w:val="22"/>
          <w:szCs w:val="22"/>
        </w:rPr>
      </w:pPr>
      <w:r w:rsidRPr="00217855">
        <w:rPr>
          <w:b/>
          <w:color w:val="000000" w:themeColor="text1"/>
          <w:sz w:val="22"/>
          <w:szCs w:val="22"/>
        </w:rPr>
        <w:t xml:space="preserve">Artículo 8.-  </w:t>
      </w:r>
      <w:r w:rsidRPr="00217855">
        <w:rPr>
          <w:color w:val="000000" w:themeColor="text1"/>
          <w:sz w:val="22"/>
          <w:szCs w:val="22"/>
        </w:rPr>
        <w:t xml:space="preserve">Una vez recibida la denuncia ciudadana, la Procuraduría Agraria la hará del conocimiento de los miembros del Comité, para su análisis y opinión correspondiente. </w:t>
      </w:r>
    </w:p>
    <w:p w:rsidR="00191BBC" w:rsidRPr="00217855" w:rsidRDefault="00191BBC" w:rsidP="00191BBC">
      <w:pPr>
        <w:pStyle w:val="Default"/>
        <w:tabs>
          <w:tab w:val="left" w:pos="5633"/>
        </w:tabs>
        <w:jc w:val="both"/>
        <w:rPr>
          <w:color w:val="000000" w:themeColor="text1"/>
          <w:sz w:val="22"/>
          <w:szCs w:val="22"/>
        </w:rPr>
      </w:pPr>
    </w:p>
    <w:p w:rsidR="00191BBC" w:rsidRPr="00217855" w:rsidRDefault="00191BBC" w:rsidP="00191BBC">
      <w:pPr>
        <w:pStyle w:val="Default"/>
        <w:tabs>
          <w:tab w:val="left" w:pos="5633"/>
        </w:tabs>
        <w:jc w:val="both"/>
        <w:rPr>
          <w:color w:val="000000" w:themeColor="text1"/>
          <w:sz w:val="22"/>
          <w:szCs w:val="22"/>
        </w:rPr>
      </w:pPr>
      <w:r w:rsidRPr="00217855">
        <w:rPr>
          <w:color w:val="000000" w:themeColor="text1"/>
          <w:sz w:val="22"/>
          <w:szCs w:val="22"/>
        </w:rPr>
        <w:t xml:space="preserve">Los miembros del Comité valorarán en un término de 10 días hábiles, la admisión, prevención o </w:t>
      </w:r>
      <w:proofErr w:type="spellStart"/>
      <w:r w:rsidRPr="00217855">
        <w:rPr>
          <w:color w:val="000000" w:themeColor="text1"/>
          <w:sz w:val="22"/>
          <w:szCs w:val="22"/>
        </w:rPr>
        <w:t>desechamiento</w:t>
      </w:r>
      <w:proofErr w:type="spellEnd"/>
      <w:r w:rsidRPr="00217855">
        <w:rPr>
          <w:color w:val="000000" w:themeColor="text1"/>
          <w:sz w:val="22"/>
          <w:szCs w:val="22"/>
        </w:rPr>
        <w:t xml:space="preserve"> de la denuncia, votando en el seno del Comité el Acuerdo respectivo. </w:t>
      </w:r>
    </w:p>
    <w:p w:rsidR="00665B75" w:rsidRPr="00217855" w:rsidRDefault="00665B75" w:rsidP="00191BBC">
      <w:pPr>
        <w:pStyle w:val="Default"/>
        <w:tabs>
          <w:tab w:val="left" w:pos="5633"/>
        </w:tabs>
        <w:jc w:val="both"/>
        <w:rPr>
          <w:color w:val="000000" w:themeColor="text1"/>
          <w:sz w:val="22"/>
          <w:szCs w:val="22"/>
        </w:rPr>
      </w:pPr>
    </w:p>
    <w:p w:rsidR="00665B75" w:rsidRPr="00217855" w:rsidRDefault="00665B75" w:rsidP="00191BBC">
      <w:pPr>
        <w:pStyle w:val="Default"/>
        <w:tabs>
          <w:tab w:val="left" w:pos="5633"/>
        </w:tabs>
        <w:jc w:val="both"/>
        <w:rPr>
          <w:color w:val="000000" w:themeColor="text1"/>
          <w:sz w:val="22"/>
          <w:szCs w:val="22"/>
        </w:rPr>
      </w:pPr>
      <w:r w:rsidRPr="00217855">
        <w:rPr>
          <w:b/>
          <w:color w:val="000000" w:themeColor="text1"/>
          <w:sz w:val="22"/>
          <w:szCs w:val="22"/>
        </w:rPr>
        <w:t xml:space="preserve">Artículo 9.- </w:t>
      </w:r>
      <w:r w:rsidRPr="00217855">
        <w:rPr>
          <w:color w:val="000000" w:themeColor="text1"/>
          <w:sz w:val="22"/>
          <w:szCs w:val="22"/>
        </w:rPr>
        <w:t>Si hubiere una prevención, el denunciante</w:t>
      </w:r>
      <w:r w:rsidRPr="00217855">
        <w:rPr>
          <w:b/>
          <w:color w:val="000000" w:themeColor="text1"/>
          <w:sz w:val="22"/>
          <w:szCs w:val="22"/>
        </w:rPr>
        <w:t xml:space="preserve"> </w:t>
      </w:r>
      <w:r w:rsidRPr="00217855">
        <w:rPr>
          <w:color w:val="000000" w:themeColor="text1"/>
          <w:sz w:val="22"/>
          <w:szCs w:val="22"/>
        </w:rPr>
        <w:t xml:space="preserve">podrá presentar dentro de los siguientes 10 días hábiles, los elementos a que alude el artículo 7 del presente Acuerdo, de no hacerlo se tendrá por desechada, pudiendo presentar nuevamente su denuncia. </w:t>
      </w:r>
    </w:p>
    <w:p w:rsidR="00191BBC" w:rsidRPr="00217855" w:rsidRDefault="00191BBC" w:rsidP="00191BBC">
      <w:pPr>
        <w:pStyle w:val="Default"/>
        <w:tabs>
          <w:tab w:val="left" w:pos="5633"/>
        </w:tabs>
        <w:jc w:val="both"/>
        <w:rPr>
          <w:color w:val="000000" w:themeColor="text1"/>
          <w:sz w:val="22"/>
          <w:szCs w:val="22"/>
        </w:rPr>
      </w:pPr>
    </w:p>
    <w:p w:rsidR="00191BBC" w:rsidRPr="00217855" w:rsidRDefault="00191BBC" w:rsidP="00191BBC">
      <w:pPr>
        <w:pStyle w:val="Default"/>
        <w:tabs>
          <w:tab w:val="left" w:pos="5633"/>
        </w:tabs>
        <w:jc w:val="both"/>
        <w:rPr>
          <w:color w:val="000000" w:themeColor="text1"/>
          <w:sz w:val="22"/>
          <w:szCs w:val="22"/>
        </w:rPr>
      </w:pPr>
      <w:r w:rsidRPr="00217855">
        <w:rPr>
          <w:b/>
          <w:color w:val="000000" w:themeColor="text1"/>
          <w:sz w:val="22"/>
          <w:szCs w:val="22"/>
        </w:rPr>
        <w:lastRenderedPageBreak/>
        <w:t xml:space="preserve">Artículo </w:t>
      </w:r>
      <w:r w:rsidR="005204EE" w:rsidRPr="00217855">
        <w:rPr>
          <w:b/>
          <w:color w:val="000000" w:themeColor="text1"/>
          <w:sz w:val="22"/>
          <w:szCs w:val="22"/>
        </w:rPr>
        <w:t>10</w:t>
      </w:r>
      <w:r w:rsidRPr="00217855">
        <w:rPr>
          <w:b/>
          <w:color w:val="000000" w:themeColor="text1"/>
          <w:sz w:val="22"/>
          <w:szCs w:val="22"/>
        </w:rPr>
        <w:t>.-</w:t>
      </w:r>
      <w:r w:rsidRPr="00217855">
        <w:rPr>
          <w:color w:val="000000" w:themeColor="text1"/>
          <w:sz w:val="22"/>
          <w:szCs w:val="22"/>
        </w:rPr>
        <w:t xml:space="preserve"> Una vez admitida la denuncia, el Comité tendrá 2</w:t>
      </w:r>
      <w:r w:rsidR="003071C6">
        <w:rPr>
          <w:color w:val="000000" w:themeColor="text1"/>
          <w:sz w:val="22"/>
          <w:szCs w:val="22"/>
        </w:rPr>
        <w:t>5</w:t>
      </w:r>
      <w:r w:rsidR="00665B75" w:rsidRPr="00217855">
        <w:rPr>
          <w:color w:val="000000" w:themeColor="text1"/>
          <w:sz w:val="22"/>
          <w:szCs w:val="22"/>
        </w:rPr>
        <w:t xml:space="preserve"> </w:t>
      </w:r>
      <w:r w:rsidRPr="00217855">
        <w:rPr>
          <w:color w:val="000000" w:themeColor="text1"/>
          <w:sz w:val="22"/>
          <w:szCs w:val="22"/>
        </w:rPr>
        <w:t xml:space="preserve">días hábiles, para determinar </w:t>
      </w:r>
      <w:r w:rsidR="00665B75" w:rsidRPr="00217855">
        <w:rPr>
          <w:color w:val="000000" w:themeColor="text1"/>
          <w:sz w:val="22"/>
          <w:szCs w:val="22"/>
        </w:rPr>
        <w:t>su actuación conforme a la Ley y en su caso, emitir las recomendaciones respectivas.</w:t>
      </w:r>
      <w:r w:rsidRPr="00217855">
        <w:rPr>
          <w:color w:val="000000" w:themeColor="text1"/>
          <w:sz w:val="22"/>
          <w:szCs w:val="22"/>
        </w:rPr>
        <w:t xml:space="preserve"> </w:t>
      </w:r>
    </w:p>
    <w:p w:rsidR="009F05FA" w:rsidRDefault="009F05FA" w:rsidP="009F05FA">
      <w:pPr>
        <w:pStyle w:val="Default"/>
        <w:tabs>
          <w:tab w:val="left" w:pos="5633"/>
        </w:tabs>
        <w:jc w:val="both"/>
        <w:rPr>
          <w:color w:val="000000" w:themeColor="text1"/>
          <w:sz w:val="22"/>
          <w:szCs w:val="22"/>
        </w:rPr>
      </w:pPr>
    </w:p>
    <w:p w:rsidR="00835632" w:rsidRDefault="00835632" w:rsidP="00DF5E49">
      <w:pPr>
        <w:pStyle w:val="Default"/>
        <w:jc w:val="center"/>
        <w:rPr>
          <w:b/>
          <w:bCs/>
          <w:color w:val="000000" w:themeColor="text1"/>
          <w:sz w:val="22"/>
          <w:szCs w:val="22"/>
        </w:rPr>
      </w:pPr>
    </w:p>
    <w:p w:rsidR="00CD4422" w:rsidRPr="00217855" w:rsidRDefault="00CD4422" w:rsidP="00DF5E49">
      <w:pPr>
        <w:pStyle w:val="Default"/>
        <w:jc w:val="center"/>
        <w:rPr>
          <w:b/>
          <w:color w:val="000000" w:themeColor="text1"/>
          <w:sz w:val="22"/>
          <w:szCs w:val="22"/>
        </w:rPr>
      </w:pPr>
      <w:r w:rsidRPr="00217855">
        <w:rPr>
          <w:b/>
          <w:bCs/>
          <w:color w:val="000000" w:themeColor="text1"/>
          <w:sz w:val="22"/>
          <w:szCs w:val="22"/>
        </w:rPr>
        <w:t>TRANSITORIO</w:t>
      </w:r>
      <w:r w:rsidR="00DF5E49" w:rsidRPr="00217855">
        <w:rPr>
          <w:b/>
          <w:bCs/>
          <w:color w:val="000000" w:themeColor="text1"/>
          <w:sz w:val="22"/>
          <w:szCs w:val="22"/>
        </w:rPr>
        <w:t>S</w:t>
      </w:r>
    </w:p>
    <w:p w:rsidR="00CD4422" w:rsidRPr="00217855" w:rsidRDefault="00CD4422" w:rsidP="00CD4422">
      <w:pPr>
        <w:pStyle w:val="Default"/>
        <w:jc w:val="both"/>
        <w:rPr>
          <w:bCs/>
          <w:color w:val="000000" w:themeColor="text1"/>
          <w:sz w:val="22"/>
          <w:szCs w:val="22"/>
        </w:rPr>
      </w:pPr>
    </w:p>
    <w:p w:rsidR="00CD4422" w:rsidRPr="00217855" w:rsidRDefault="00CD4422" w:rsidP="00CD4422">
      <w:pPr>
        <w:pStyle w:val="Default"/>
        <w:jc w:val="both"/>
        <w:rPr>
          <w:color w:val="000000" w:themeColor="text1"/>
          <w:sz w:val="22"/>
          <w:szCs w:val="22"/>
        </w:rPr>
      </w:pPr>
      <w:r w:rsidRPr="00217855">
        <w:rPr>
          <w:b/>
          <w:bCs/>
          <w:color w:val="000000" w:themeColor="text1"/>
          <w:sz w:val="22"/>
          <w:szCs w:val="22"/>
        </w:rPr>
        <w:t>PRIMERO</w:t>
      </w:r>
      <w:r w:rsidRPr="00217855">
        <w:rPr>
          <w:bCs/>
          <w:color w:val="000000" w:themeColor="text1"/>
          <w:sz w:val="22"/>
          <w:szCs w:val="22"/>
        </w:rPr>
        <w:t xml:space="preserve">: </w:t>
      </w:r>
      <w:r w:rsidR="00665B75" w:rsidRPr="00217855">
        <w:rPr>
          <w:color w:val="000000" w:themeColor="text1"/>
          <w:sz w:val="22"/>
          <w:szCs w:val="22"/>
        </w:rPr>
        <w:t>El presente Acuerdo</w:t>
      </w:r>
      <w:r w:rsidRPr="00217855">
        <w:rPr>
          <w:color w:val="000000" w:themeColor="text1"/>
          <w:sz w:val="22"/>
          <w:szCs w:val="22"/>
        </w:rPr>
        <w:t xml:space="preserve">, entrará en vigor al día siguiente de su publicación en el Diario Oficial de la Federación. </w:t>
      </w:r>
    </w:p>
    <w:p w:rsidR="00CD4422" w:rsidRPr="00217855" w:rsidRDefault="00835632" w:rsidP="00835632">
      <w:pPr>
        <w:pStyle w:val="Default"/>
        <w:tabs>
          <w:tab w:val="left" w:pos="7952"/>
        </w:tabs>
        <w:jc w:val="both"/>
        <w:rPr>
          <w:bCs/>
          <w:color w:val="000000" w:themeColor="text1"/>
          <w:sz w:val="22"/>
          <w:szCs w:val="22"/>
        </w:rPr>
      </w:pPr>
      <w:r>
        <w:rPr>
          <w:bCs/>
          <w:color w:val="000000" w:themeColor="text1"/>
          <w:sz w:val="22"/>
          <w:szCs w:val="22"/>
        </w:rPr>
        <w:tab/>
      </w:r>
    </w:p>
    <w:p w:rsidR="00CD4422" w:rsidRPr="00217855" w:rsidRDefault="00CD4422" w:rsidP="00CD4422">
      <w:pPr>
        <w:pStyle w:val="Default"/>
        <w:jc w:val="both"/>
        <w:rPr>
          <w:color w:val="000000" w:themeColor="text1"/>
          <w:sz w:val="22"/>
          <w:szCs w:val="22"/>
        </w:rPr>
      </w:pPr>
      <w:r w:rsidRPr="00217855">
        <w:rPr>
          <w:b/>
          <w:bCs/>
          <w:color w:val="000000" w:themeColor="text1"/>
          <w:sz w:val="22"/>
          <w:szCs w:val="22"/>
        </w:rPr>
        <w:t>SEGUNDO</w:t>
      </w:r>
      <w:r w:rsidRPr="00217855">
        <w:rPr>
          <w:bCs/>
          <w:color w:val="000000" w:themeColor="text1"/>
          <w:sz w:val="22"/>
          <w:szCs w:val="22"/>
        </w:rPr>
        <w:t xml:space="preserve">: </w:t>
      </w:r>
      <w:r w:rsidR="00665B75" w:rsidRPr="00217855">
        <w:rPr>
          <w:bCs/>
          <w:color w:val="000000" w:themeColor="text1"/>
          <w:sz w:val="22"/>
          <w:szCs w:val="22"/>
        </w:rPr>
        <w:t xml:space="preserve">El presente Acuerdo </w:t>
      </w:r>
      <w:r w:rsidR="00665B75" w:rsidRPr="00217855">
        <w:rPr>
          <w:color w:val="000000" w:themeColor="text1"/>
          <w:sz w:val="22"/>
          <w:szCs w:val="22"/>
        </w:rPr>
        <w:t xml:space="preserve">será aplicable, hasta en tanto el Congreso de la Unión </w:t>
      </w:r>
      <w:r w:rsidR="00A607FE" w:rsidRPr="00217855">
        <w:rPr>
          <w:color w:val="000000" w:themeColor="text1"/>
          <w:sz w:val="22"/>
          <w:szCs w:val="22"/>
        </w:rPr>
        <w:t>concluya el proceso para reformar las disposiciones legales correspondientes para ampliar las facultades de la Procuraduría Agraria, en términos del artículo C</w:t>
      </w:r>
      <w:r w:rsidR="008B4968" w:rsidRPr="004B5E93">
        <w:rPr>
          <w:color w:val="000000" w:themeColor="text1"/>
          <w:sz w:val="22"/>
          <w:szCs w:val="22"/>
        </w:rPr>
        <w:t>uarto</w:t>
      </w:r>
      <w:r w:rsidR="00A607FE" w:rsidRPr="00217855">
        <w:rPr>
          <w:color w:val="000000" w:themeColor="text1"/>
          <w:sz w:val="22"/>
          <w:szCs w:val="22"/>
        </w:rPr>
        <w:t xml:space="preserve"> Transitorio de la Ley General de Asentamientos Humanos, Ordenamiento Territorial y Desarrollo Urbano</w:t>
      </w:r>
      <w:r w:rsidR="008468A1">
        <w:rPr>
          <w:color w:val="000000" w:themeColor="text1"/>
          <w:sz w:val="22"/>
          <w:szCs w:val="22"/>
        </w:rPr>
        <w:t>, publicada en el Diario Oficial de la Federación el 28 de noviembre de 2016</w:t>
      </w:r>
      <w:r w:rsidRPr="00217855">
        <w:rPr>
          <w:color w:val="000000" w:themeColor="text1"/>
          <w:sz w:val="22"/>
          <w:szCs w:val="22"/>
        </w:rPr>
        <w:t xml:space="preserve">. </w:t>
      </w:r>
    </w:p>
    <w:p w:rsidR="00A607FE" w:rsidRPr="00217855" w:rsidRDefault="00A607FE" w:rsidP="00CD4422">
      <w:pPr>
        <w:pStyle w:val="Default"/>
        <w:jc w:val="both"/>
        <w:rPr>
          <w:color w:val="000000" w:themeColor="text1"/>
          <w:sz w:val="22"/>
          <w:szCs w:val="22"/>
        </w:rPr>
      </w:pPr>
    </w:p>
    <w:p w:rsidR="00A607FE" w:rsidRPr="00217855" w:rsidRDefault="00A607FE" w:rsidP="00CD4422">
      <w:pPr>
        <w:pStyle w:val="Default"/>
        <w:jc w:val="both"/>
        <w:rPr>
          <w:color w:val="000000" w:themeColor="text1"/>
          <w:sz w:val="22"/>
          <w:szCs w:val="22"/>
        </w:rPr>
      </w:pPr>
      <w:r w:rsidRPr="00217855">
        <w:rPr>
          <w:b/>
          <w:color w:val="000000" w:themeColor="text1"/>
          <w:sz w:val="22"/>
          <w:szCs w:val="22"/>
        </w:rPr>
        <w:t>TERCERO.-</w:t>
      </w:r>
      <w:r w:rsidRPr="00217855">
        <w:rPr>
          <w:color w:val="000000" w:themeColor="text1"/>
          <w:sz w:val="22"/>
          <w:szCs w:val="22"/>
        </w:rPr>
        <w:t xml:space="preserve"> </w:t>
      </w:r>
      <w:r w:rsidR="003071C6">
        <w:rPr>
          <w:color w:val="000000" w:themeColor="text1"/>
          <w:sz w:val="22"/>
          <w:szCs w:val="22"/>
        </w:rPr>
        <w:t xml:space="preserve">Previo a su extinción, </w:t>
      </w:r>
      <w:r w:rsidRPr="00217855">
        <w:rPr>
          <w:color w:val="000000" w:themeColor="text1"/>
          <w:sz w:val="22"/>
          <w:szCs w:val="22"/>
        </w:rPr>
        <w:t xml:space="preserve">el Comité de Procuración de Ordenamiento Territorial y Desarrollo Urbano, </w:t>
      </w:r>
      <w:r w:rsidR="003071C6">
        <w:rPr>
          <w:color w:val="000000" w:themeColor="text1"/>
          <w:sz w:val="22"/>
          <w:szCs w:val="22"/>
        </w:rPr>
        <w:t xml:space="preserve">en su última sesión, resolverá sobre el trámite de </w:t>
      </w:r>
      <w:r w:rsidRPr="00217855">
        <w:rPr>
          <w:color w:val="000000" w:themeColor="text1"/>
          <w:sz w:val="22"/>
          <w:szCs w:val="22"/>
        </w:rPr>
        <w:t xml:space="preserve">los asuntos que se encuentren pendientes. </w:t>
      </w:r>
    </w:p>
    <w:p w:rsidR="00CD4422" w:rsidRPr="00217855" w:rsidRDefault="00CD4422" w:rsidP="00CD4422">
      <w:pPr>
        <w:pStyle w:val="Default"/>
        <w:jc w:val="both"/>
        <w:rPr>
          <w:color w:val="000000" w:themeColor="text1"/>
          <w:sz w:val="22"/>
          <w:szCs w:val="22"/>
        </w:rPr>
      </w:pPr>
    </w:p>
    <w:p w:rsidR="00CD4422" w:rsidRPr="00217855" w:rsidRDefault="00CD4422" w:rsidP="00CD4422">
      <w:pPr>
        <w:jc w:val="both"/>
        <w:rPr>
          <w:rFonts w:ascii="Arial" w:hAnsi="Arial" w:cs="Arial"/>
          <w:color w:val="000000" w:themeColor="text1"/>
        </w:rPr>
      </w:pPr>
      <w:r w:rsidRPr="00217855">
        <w:rPr>
          <w:rFonts w:ascii="Arial" w:hAnsi="Arial" w:cs="Arial"/>
          <w:color w:val="000000" w:themeColor="text1"/>
        </w:rPr>
        <w:t xml:space="preserve">Ciudad de México a ___ de ______ </w:t>
      </w:r>
      <w:proofErr w:type="spellStart"/>
      <w:r w:rsidRPr="00217855">
        <w:rPr>
          <w:rFonts w:ascii="Arial" w:hAnsi="Arial" w:cs="Arial"/>
          <w:color w:val="000000" w:themeColor="text1"/>
        </w:rPr>
        <w:t>de</w:t>
      </w:r>
      <w:proofErr w:type="spellEnd"/>
      <w:r w:rsidRPr="00217855">
        <w:rPr>
          <w:rFonts w:ascii="Arial" w:hAnsi="Arial" w:cs="Arial"/>
          <w:color w:val="000000" w:themeColor="text1"/>
        </w:rPr>
        <w:t xml:space="preserve"> 2017.</w:t>
      </w:r>
    </w:p>
    <w:p w:rsidR="00CD4422" w:rsidRPr="00217855" w:rsidRDefault="00CD4422" w:rsidP="00CD4422">
      <w:pPr>
        <w:jc w:val="both"/>
        <w:rPr>
          <w:rFonts w:ascii="Arial" w:hAnsi="Arial" w:cs="Arial"/>
          <w:color w:val="000000" w:themeColor="text1"/>
        </w:rPr>
      </w:pPr>
    </w:p>
    <w:p w:rsidR="00CD4422" w:rsidRPr="00217855" w:rsidRDefault="00CD4422" w:rsidP="00CD4422">
      <w:pPr>
        <w:ind w:left="426"/>
        <w:jc w:val="center"/>
        <w:rPr>
          <w:rFonts w:ascii="Arial" w:hAnsi="Arial" w:cs="Arial"/>
          <w:b/>
        </w:rPr>
      </w:pPr>
      <w:r w:rsidRPr="00217855">
        <w:rPr>
          <w:rFonts w:ascii="Arial" w:hAnsi="Arial" w:cs="Arial"/>
          <w:b/>
        </w:rPr>
        <w:t>LA SECRETARIA DE DESARROLLO AGRARIO, TERRITORIAL Y URB</w:t>
      </w:r>
      <w:r w:rsidR="00A607FE" w:rsidRPr="00217855">
        <w:rPr>
          <w:rFonts w:ascii="Arial" w:hAnsi="Arial" w:cs="Arial"/>
          <w:b/>
        </w:rPr>
        <w:t>ANO</w:t>
      </w:r>
    </w:p>
    <w:p w:rsidR="00CD4422" w:rsidRPr="00217855" w:rsidRDefault="00CD4422" w:rsidP="00CD4422">
      <w:pPr>
        <w:ind w:left="426"/>
        <w:jc w:val="center"/>
        <w:rPr>
          <w:rFonts w:ascii="Arial" w:hAnsi="Arial" w:cs="Arial"/>
          <w:b/>
        </w:rPr>
      </w:pPr>
    </w:p>
    <w:p w:rsidR="00CD4422" w:rsidRPr="00217855" w:rsidRDefault="00CD4422" w:rsidP="00CD4422">
      <w:pPr>
        <w:ind w:left="426"/>
        <w:jc w:val="center"/>
        <w:rPr>
          <w:rFonts w:ascii="Arial" w:hAnsi="Arial" w:cs="Arial"/>
          <w:b/>
        </w:rPr>
      </w:pPr>
    </w:p>
    <w:p w:rsidR="00CD4422" w:rsidRPr="00217855" w:rsidRDefault="00CD4422" w:rsidP="00CD4422">
      <w:pPr>
        <w:ind w:left="426"/>
        <w:jc w:val="center"/>
        <w:rPr>
          <w:rFonts w:ascii="Arial" w:hAnsi="Arial" w:cs="Arial"/>
          <w:b/>
        </w:rPr>
      </w:pPr>
    </w:p>
    <w:p w:rsidR="00CD4422" w:rsidRPr="00217855" w:rsidRDefault="00CD4422" w:rsidP="00CD4422">
      <w:pPr>
        <w:spacing w:after="0"/>
        <w:jc w:val="center"/>
        <w:rPr>
          <w:rFonts w:ascii="Arial" w:hAnsi="Arial" w:cs="Arial"/>
          <w:b/>
        </w:rPr>
      </w:pPr>
      <w:r w:rsidRPr="00217855">
        <w:rPr>
          <w:rFonts w:ascii="Arial" w:hAnsi="Arial" w:cs="Arial"/>
          <w:b/>
        </w:rPr>
        <w:t>_______________________________________</w:t>
      </w:r>
    </w:p>
    <w:p w:rsidR="00CD4422" w:rsidRPr="00217855" w:rsidRDefault="00CD4422" w:rsidP="00CD4422">
      <w:pPr>
        <w:jc w:val="center"/>
        <w:rPr>
          <w:rFonts w:ascii="Arial" w:hAnsi="Arial" w:cs="Arial"/>
          <w:color w:val="000000" w:themeColor="text1"/>
        </w:rPr>
      </w:pPr>
      <w:r w:rsidRPr="00217855">
        <w:rPr>
          <w:rFonts w:ascii="Arial" w:hAnsi="Arial" w:cs="Arial"/>
          <w:b/>
        </w:rPr>
        <w:t>MARÍA DEL ROSARIO ROBLES BERLANGA</w:t>
      </w:r>
    </w:p>
    <w:p w:rsidR="00CD4422" w:rsidRPr="00217855" w:rsidRDefault="00CD4422">
      <w:pPr>
        <w:rPr>
          <w:rFonts w:ascii="Arial" w:hAnsi="Arial" w:cs="Arial"/>
        </w:rPr>
      </w:pPr>
    </w:p>
    <w:sectPr w:rsidR="00CD4422" w:rsidRPr="00217855" w:rsidSect="009F05FA">
      <w:headerReference w:type="default" r:id="rId9"/>
      <w:footerReference w:type="default" r:id="rId10"/>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5A" w:rsidRDefault="0044665A" w:rsidP="00CD4422">
      <w:pPr>
        <w:spacing w:after="0" w:line="240" w:lineRule="auto"/>
      </w:pPr>
      <w:r>
        <w:separator/>
      </w:r>
    </w:p>
  </w:endnote>
  <w:endnote w:type="continuationSeparator" w:id="0">
    <w:p w:rsidR="0044665A" w:rsidRDefault="0044665A" w:rsidP="00CD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488647"/>
      <w:docPartObj>
        <w:docPartGallery w:val="Page Numbers (Bottom of Page)"/>
        <w:docPartUnique/>
      </w:docPartObj>
    </w:sdtPr>
    <w:sdtEndPr/>
    <w:sdtContent>
      <w:p w:rsidR="00835632" w:rsidRDefault="00835632">
        <w:pPr>
          <w:pStyle w:val="Piedepgina"/>
          <w:jc w:val="right"/>
        </w:pPr>
        <w:r>
          <w:fldChar w:fldCharType="begin"/>
        </w:r>
        <w:r>
          <w:instrText>PAGE   \* MERGEFORMAT</w:instrText>
        </w:r>
        <w:r>
          <w:fldChar w:fldCharType="separate"/>
        </w:r>
        <w:r w:rsidR="00444B74" w:rsidRPr="00444B74">
          <w:rPr>
            <w:noProof/>
            <w:lang w:val="es-ES"/>
          </w:rPr>
          <w:t>4</w:t>
        </w:r>
        <w:r>
          <w:fldChar w:fldCharType="end"/>
        </w:r>
      </w:p>
    </w:sdtContent>
  </w:sdt>
  <w:p w:rsidR="00835632" w:rsidRDefault="008356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5A" w:rsidRDefault="0044665A" w:rsidP="00CD4422">
      <w:pPr>
        <w:spacing w:after="0" w:line="240" w:lineRule="auto"/>
      </w:pPr>
      <w:r>
        <w:separator/>
      </w:r>
    </w:p>
  </w:footnote>
  <w:footnote w:type="continuationSeparator" w:id="0">
    <w:p w:rsidR="0044665A" w:rsidRDefault="0044665A" w:rsidP="00CD4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22" w:rsidRDefault="00CD4422">
    <w:pPr>
      <w:pStyle w:val="Encabezado"/>
    </w:pPr>
    <w:r>
      <w:rPr>
        <w:noProof/>
        <w:lang w:eastAsia="es-MX"/>
      </w:rPr>
      <w:drawing>
        <wp:inline distT="0" distB="0" distL="0" distR="0" wp14:anchorId="700A1FE5" wp14:editId="4F7691FF">
          <wp:extent cx="1464097" cy="568049"/>
          <wp:effectExtent l="0" t="0" r="317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882" cy="570293"/>
                  </a:xfrm>
                  <a:prstGeom prst="rect">
                    <a:avLst/>
                  </a:prstGeom>
                  <a:noFill/>
                </pic:spPr>
              </pic:pic>
            </a:graphicData>
          </a:graphic>
        </wp:inline>
      </w:drawing>
    </w:r>
  </w:p>
  <w:p w:rsidR="00CD4422" w:rsidRDefault="00CD442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22"/>
    <w:rsid w:val="00091D41"/>
    <w:rsid w:val="00101CA4"/>
    <w:rsid w:val="00122694"/>
    <w:rsid w:val="00185EC9"/>
    <w:rsid w:val="00190729"/>
    <w:rsid w:val="00191BBC"/>
    <w:rsid w:val="001B623C"/>
    <w:rsid w:val="00217855"/>
    <w:rsid w:val="002F642D"/>
    <w:rsid w:val="003071C6"/>
    <w:rsid w:val="00321EE1"/>
    <w:rsid w:val="0034017F"/>
    <w:rsid w:val="00355E20"/>
    <w:rsid w:val="003E19B0"/>
    <w:rsid w:val="00444B74"/>
    <w:rsid w:val="0044665A"/>
    <w:rsid w:val="0046737F"/>
    <w:rsid w:val="004B2BD5"/>
    <w:rsid w:val="004B2C4D"/>
    <w:rsid w:val="004B5D82"/>
    <w:rsid w:val="004B5E93"/>
    <w:rsid w:val="004D47F6"/>
    <w:rsid w:val="004E20DB"/>
    <w:rsid w:val="005204EE"/>
    <w:rsid w:val="00522554"/>
    <w:rsid w:val="00531C5A"/>
    <w:rsid w:val="005421AC"/>
    <w:rsid w:val="00564171"/>
    <w:rsid w:val="0057185B"/>
    <w:rsid w:val="005857F0"/>
    <w:rsid w:val="005B6452"/>
    <w:rsid w:val="005F6C3C"/>
    <w:rsid w:val="00600DD7"/>
    <w:rsid w:val="00613EA2"/>
    <w:rsid w:val="00617D97"/>
    <w:rsid w:val="00632047"/>
    <w:rsid w:val="00665B75"/>
    <w:rsid w:val="0069591A"/>
    <w:rsid w:val="006A623E"/>
    <w:rsid w:val="006B7E4E"/>
    <w:rsid w:val="006C6AD4"/>
    <w:rsid w:val="006E6A48"/>
    <w:rsid w:val="006F5996"/>
    <w:rsid w:val="00705A17"/>
    <w:rsid w:val="0076518C"/>
    <w:rsid w:val="007D687F"/>
    <w:rsid w:val="00835632"/>
    <w:rsid w:val="008468A1"/>
    <w:rsid w:val="00855016"/>
    <w:rsid w:val="00867044"/>
    <w:rsid w:val="008B4968"/>
    <w:rsid w:val="008C7287"/>
    <w:rsid w:val="00913DAF"/>
    <w:rsid w:val="00951420"/>
    <w:rsid w:val="00971BA4"/>
    <w:rsid w:val="00976703"/>
    <w:rsid w:val="009D31FE"/>
    <w:rsid w:val="009F05FA"/>
    <w:rsid w:val="00A607FE"/>
    <w:rsid w:val="00AB516B"/>
    <w:rsid w:val="00AE738A"/>
    <w:rsid w:val="00B9436D"/>
    <w:rsid w:val="00BD6B0D"/>
    <w:rsid w:val="00BE3697"/>
    <w:rsid w:val="00BE406C"/>
    <w:rsid w:val="00BE7A94"/>
    <w:rsid w:val="00C2437C"/>
    <w:rsid w:val="00C259E8"/>
    <w:rsid w:val="00C401ED"/>
    <w:rsid w:val="00C50ECC"/>
    <w:rsid w:val="00C60149"/>
    <w:rsid w:val="00C602D7"/>
    <w:rsid w:val="00C84180"/>
    <w:rsid w:val="00C9391C"/>
    <w:rsid w:val="00CD4422"/>
    <w:rsid w:val="00CF6C9F"/>
    <w:rsid w:val="00D062AF"/>
    <w:rsid w:val="00D860E8"/>
    <w:rsid w:val="00DF5E49"/>
    <w:rsid w:val="00E01AD8"/>
    <w:rsid w:val="00E94977"/>
    <w:rsid w:val="00F27CFB"/>
    <w:rsid w:val="00F718D9"/>
    <w:rsid w:val="00F7459E"/>
    <w:rsid w:val="00F9556E"/>
    <w:rsid w:val="00FA37DC"/>
    <w:rsid w:val="00FB33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44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4422"/>
  </w:style>
  <w:style w:type="paragraph" w:styleId="Piedepgina">
    <w:name w:val="footer"/>
    <w:basedOn w:val="Normal"/>
    <w:link w:val="PiedepginaCar"/>
    <w:uiPriority w:val="99"/>
    <w:unhideWhenUsed/>
    <w:rsid w:val="00CD44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4422"/>
  </w:style>
  <w:style w:type="paragraph" w:styleId="Textodeglobo">
    <w:name w:val="Balloon Text"/>
    <w:basedOn w:val="Normal"/>
    <w:link w:val="TextodegloboCar"/>
    <w:uiPriority w:val="99"/>
    <w:semiHidden/>
    <w:unhideWhenUsed/>
    <w:rsid w:val="00CD44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422"/>
    <w:rPr>
      <w:rFonts w:ascii="Tahoma" w:hAnsi="Tahoma" w:cs="Tahoma"/>
      <w:sz w:val="16"/>
      <w:szCs w:val="16"/>
    </w:rPr>
  </w:style>
  <w:style w:type="paragraph" w:customStyle="1" w:styleId="Default">
    <w:name w:val="Default"/>
    <w:rsid w:val="00CD4422"/>
    <w:pPr>
      <w:autoSpaceDE w:val="0"/>
      <w:autoSpaceDN w:val="0"/>
      <w:adjustRightInd w:val="0"/>
      <w:spacing w:after="0" w:line="240" w:lineRule="auto"/>
    </w:pPr>
    <w:rPr>
      <w:rFonts w:ascii="Arial" w:eastAsiaTheme="minorEastAsia" w:hAnsi="Arial" w:cs="Arial"/>
      <w:color w:val="000000"/>
      <w:sz w:val="24"/>
      <w:szCs w:val="24"/>
      <w:lang w:eastAsia="es-MX"/>
    </w:rPr>
  </w:style>
  <w:style w:type="character" w:styleId="Hipervnculo">
    <w:name w:val="Hyperlink"/>
    <w:basedOn w:val="Fuentedeprrafopredeter"/>
    <w:uiPriority w:val="99"/>
    <w:unhideWhenUsed/>
    <w:rsid w:val="00191BBC"/>
    <w:rPr>
      <w:color w:val="0000FF" w:themeColor="hyperlink"/>
      <w:u w:val="single"/>
    </w:rPr>
  </w:style>
  <w:style w:type="character" w:styleId="Refdecomentario">
    <w:name w:val="annotation reference"/>
    <w:basedOn w:val="Fuentedeprrafopredeter"/>
    <w:uiPriority w:val="99"/>
    <w:semiHidden/>
    <w:unhideWhenUsed/>
    <w:rsid w:val="00B9436D"/>
    <w:rPr>
      <w:sz w:val="18"/>
      <w:szCs w:val="18"/>
    </w:rPr>
  </w:style>
  <w:style w:type="paragraph" w:styleId="Textocomentario">
    <w:name w:val="annotation text"/>
    <w:basedOn w:val="Normal"/>
    <w:link w:val="TextocomentarioCar"/>
    <w:uiPriority w:val="99"/>
    <w:semiHidden/>
    <w:unhideWhenUsed/>
    <w:rsid w:val="00B9436D"/>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9436D"/>
    <w:rPr>
      <w:sz w:val="24"/>
      <w:szCs w:val="24"/>
    </w:rPr>
  </w:style>
  <w:style w:type="paragraph" w:styleId="Asuntodelcomentario">
    <w:name w:val="annotation subject"/>
    <w:basedOn w:val="Textocomentario"/>
    <w:next w:val="Textocomentario"/>
    <w:link w:val="AsuntodelcomentarioCar"/>
    <w:uiPriority w:val="99"/>
    <w:semiHidden/>
    <w:unhideWhenUsed/>
    <w:rsid w:val="00B9436D"/>
    <w:rPr>
      <w:b/>
      <w:bCs/>
      <w:sz w:val="20"/>
      <w:szCs w:val="20"/>
    </w:rPr>
  </w:style>
  <w:style w:type="character" w:customStyle="1" w:styleId="AsuntodelcomentarioCar">
    <w:name w:val="Asunto del comentario Car"/>
    <w:basedOn w:val="TextocomentarioCar"/>
    <w:link w:val="Asuntodelcomentario"/>
    <w:uiPriority w:val="99"/>
    <w:semiHidden/>
    <w:rsid w:val="00B943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44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4422"/>
  </w:style>
  <w:style w:type="paragraph" w:styleId="Piedepgina">
    <w:name w:val="footer"/>
    <w:basedOn w:val="Normal"/>
    <w:link w:val="PiedepginaCar"/>
    <w:uiPriority w:val="99"/>
    <w:unhideWhenUsed/>
    <w:rsid w:val="00CD44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4422"/>
  </w:style>
  <w:style w:type="paragraph" w:styleId="Textodeglobo">
    <w:name w:val="Balloon Text"/>
    <w:basedOn w:val="Normal"/>
    <w:link w:val="TextodegloboCar"/>
    <w:uiPriority w:val="99"/>
    <w:semiHidden/>
    <w:unhideWhenUsed/>
    <w:rsid w:val="00CD44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422"/>
    <w:rPr>
      <w:rFonts w:ascii="Tahoma" w:hAnsi="Tahoma" w:cs="Tahoma"/>
      <w:sz w:val="16"/>
      <w:szCs w:val="16"/>
    </w:rPr>
  </w:style>
  <w:style w:type="paragraph" w:customStyle="1" w:styleId="Default">
    <w:name w:val="Default"/>
    <w:rsid w:val="00CD4422"/>
    <w:pPr>
      <w:autoSpaceDE w:val="0"/>
      <w:autoSpaceDN w:val="0"/>
      <w:adjustRightInd w:val="0"/>
      <w:spacing w:after="0" w:line="240" w:lineRule="auto"/>
    </w:pPr>
    <w:rPr>
      <w:rFonts w:ascii="Arial" w:eastAsiaTheme="minorEastAsia" w:hAnsi="Arial" w:cs="Arial"/>
      <w:color w:val="000000"/>
      <w:sz w:val="24"/>
      <w:szCs w:val="24"/>
      <w:lang w:eastAsia="es-MX"/>
    </w:rPr>
  </w:style>
  <w:style w:type="character" w:styleId="Hipervnculo">
    <w:name w:val="Hyperlink"/>
    <w:basedOn w:val="Fuentedeprrafopredeter"/>
    <w:uiPriority w:val="99"/>
    <w:unhideWhenUsed/>
    <w:rsid w:val="00191BBC"/>
    <w:rPr>
      <w:color w:val="0000FF" w:themeColor="hyperlink"/>
      <w:u w:val="single"/>
    </w:rPr>
  </w:style>
  <w:style w:type="character" w:styleId="Refdecomentario">
    <w:name w:val="annotation reference"/>
    <w:basedOn w:val="Fuentedeprrafopredeter"/>
    <w:uiPriority w:val="99"/>
    <w:semiHidden/>
    <w:unhideWhenUsed/>
    <w:rsid w:val="00B9436D"/>
    <w:rPr>
      <w:sz w:val="18"/>
      <w:szCs w:val="18"/>
    </w:rPr>
  </w:style>
  <w:style w:type="paragraph" w:styleId="Textocomentario">
    <w:name w:val="annotation text"/>
    <w:basedOn w:val="Normal"/>
    <w:link w:val="TextocomentarioCar"/>
    <w:uiPriority w:val="99"/>
    <w:semiHidden/>
    <w:unhideWhenUsed/>
    <w:rsid w:val="00B9436D"/>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9436D"/>
    <w:rPr>
      <w:sz w:val="24"/>
      <w:szCs w:val="24"/>
    </w:rPr>
  </w:style>
  <w:style w:type="paragraph" w:styleId="Asuntodelcomentario">
    <w:name w:val="annotation subject"/>
    <w:basedOn w:val="Textocomentario"/>
    <w:next w:val="Textocomentario"/>
    <w:link w:val="AsuntodelcomentarioCar"/>
    <w:uiPriority w:val="99"/>
    <w:semiHidden/>
    <w:unhideWhenUsed/>
    <w:rsid w:val="00B9436D"/>
    <w:rPr>
      <w:b/>
      <w:bCs/>
      <w:sz w:val="20"/>
      <w:szCs w:val="20"/>
    </w:rPr>
  </w:style>
  <w:style w:type="character" w:customStyle="1" w:styleId="AsuntodelcomentarioCar">
    <w:name w:val="Asunto del comentario Car"/>
    <w:basedOn w:val="TextocomentarioCar"/>
    <w:link w:val="Asuntodelcomentario"/>
    <w:uiPriority w:val="99"/>
    <w:semiHidden/>
    <w:rsid w:val="00B943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unciaciudadana@pa.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50085-88CE-4239-BE65-AD77CC4F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Ricardez;Juan Francisco Labrada Tiniani</dc:creator>
  <cp:lastModifiedBy>Roberto Ricardez Mendoza</cp:lastModifiedBy>
  <cp:revision>3</cp:revision>
  <cp:lastPrinted>2017-08-03T16:33:00Z</cp:lastPrinted>
  <dcterms:created xsi:type="dcterms:W3CDTF">2017-08-03T16:33:00Z</dcterms:created>
  <dcterms:modified xsi:type="dcterms:W3CDTF">2017-08-03T17:37:00Z</dcterms:modified>
</cp:coreProperties>
</file>