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A72841" w:rsidRPr="008C3C0D" w:rsidTr="00A72841">
        <w:trPr>
          <w:trHeight w:val="3547"/>
        </w:trPr>
        <w:tc>
          <w:tcPr>
            <w:tcW w:w="4432" w:type="dxa"/>
          </w:tcPr>
          <w:p w:rsidR="00A72841" w:rsidRPr="008C3C0D" w:rsidRDefault="00A72841" w:rsidP="00A72841">
            <w:pPr>
              <w:spacing w:after="0"/>
              <w:jc w:val="left"/>
              <w:rPr>
                <w:rFonts w:ascii="Arial Narrow" w:hAnsi="Arial Narrow"/>
                <w:sz w:val="20"/>
                <w:szCs w:val="20"/>
              </w:rPr>
            </w:pPr>
            <w:r w:rsidRPr="008C3C0D">
              <w:rPr>
                <w:rFonts w:ascii="Arial Narrow" w:hAnsi="Arial Narrow"/>
                <w:noProof/>
                <w:sz w:val="20"/>
                <w:szCs w:val="20"/>
                <w:lang w:eastAsia="es-MX"/>
              </w:rPr>
              <w:drawing>
                <wp:inline distT="0" distB="0" distL="0" distR="0" wp14:anchorId="42607EF6" wp14:editId="0AF37C76">
                  <wp:extent cx="1626870" cy="89090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890905"/>
                          </a:xfrm>
                          <a:prstGeom prst="rect">
                            <a:avLst/>
                          </a:prstGeom>
                          <a:noFill/>
                          <a:ln>
                            <a:noFill/>
                          </a:ln>
                        </pic:spPr>
                      </pic:pic>
                    </a:graphicData>
                  </a:graphic>
                </wp:inline>
              </w:drawing>
            </w:r>
          </w:p>
          <w:p w:rsidR="00A72841" w:rsidRPr="008C3C0D" w:rsidRDefault="00A72841" w:rsidP="00A72841">
            <w:pPr>
              <w:spacing w:after="0"/>
              <w:jc w:val="left"/>
              <w:rPr>
                <w:rFonts w:ascii="Arial Narrow" w:hAnsi="Arial Narrow"/>
                <w:sz w:val="20"/>
                <w:szCs w:val="20"/>
              </w:rPr>
            </w:pPr>
          </w:p>
          <w:p w:rsidR="00A72841" w:rsidRPr="008C3C0D" w:rsidRDefault="00A72841" w:rsidP="00A72841">
            <w:pPr>
              <w:spacing w:after="0"/>
              <w:jc w:val="left"/>
              <w:rPr>
                <w:rFonts w:ascii="Arial Narrow" w:hAnsi="Arial Narrow"/>
                <w:sz w:val="20"/>
                <w:szCs w:val="20"/>
              </w:rPr>
            </w:pPr>
          </w:p>
          <w:p w:rsidR="00A72841" w:rsidRPr="008C3C0D" w:rsidRDefault="00A72841" w:rsidP="00A72841">
            <w:pPr>
              <w:spacing w:after="0"/>
              <w:jc w:val="left"/>
              <w:rPr>
                <w:rFonts w:ascii="Arial Narrow" w:hAnsi="Arial Narrow"/>
                <w:sz w:val="20"/>
                <w:szCs w:val="20"/>
              </w:rPr>
            </w:pPr>
          </w:p>
        </w:tc>
        <w:tc>
          <w:tcPr>
            <w:tcW w:w="4432" w:type="dxa"/>
          </w:tcPr>
          <w:p w:rsidR="00A72841" w:rsidRPr="008C3C0D" w:rsidRDefault="00A72841" w:rsidP="00A72841">
            <w:pPr>
              <w:spacing w:after="0"/>
              <w:jc w:val="right"/>
              <w:rPr>
                <w:rFonts w:ascii="Arial Narrow" w:hAnsi="Arial Narrow"/>
                <w:sz w:val="20"/>
                <w:szCs w:val="20"/>
              </w:rPr>
            </w:pPr>
            <w:r w:rsidRPr="008C3C0D">
              <w:rPr>
                <w:rFonts w:ascii="Arial Narrow" w:hAnsi="Arial Narrow"/>
                <w:sz w:val="20"/>
                <w:szCs w:val="20"/>
              </w:rPr>
              <w:t>Unidad de Electricidad</w:t>
            </w:r>
          </w:p>
          <w:p w:rsidR="00A72841" w:rsidRPr="008C3C0D" w:rsidRDefault="00A72841" w:rsidP="00A72841">
            <w:pPr>
              <w:spacing w:after="0"/>
              <w:jc w:val="right"/>
              <w:rPr>
                <w:rFonts w:ascii="Arial Narrow" w:hAnsi="Arial Narrow"/>
                <w:noProof/>
                <w:sz w:val="20"/>
                <w:szCs w:val="20"/>
                <w:lang w:eastAsia="es-MX"/>
              </w:rPr>
            </w:pPr>
            <w:r w:rsidRPr="008C3C0D">
              <w:rPr>
                <w:rFonts w:ascii="Arial Narrow" w:hAnsi="Arial Narrow"/>
                <w:sz w:val="20"/>
                <w:szCs w:val="20"/>
              </w:rPr>
              <w:t>Comisión Reguladora de Energía</w:t>
            </w:r>
            <w:r w:rsidRPr="008C3C0D">
              <w:rPr>
                <w:rFonts w:ascii="Arial Narrow" w:hAnsi="Arial Narrow"/>
                <w:noProof/>
                <w:sz w:val="20"/>
                <w:szCs w:val="20"/>
                <w:lang w:eastAsia="es-MX"/>
              </w:rPr>
              <w:t xml:space="preserve"> </w:t>
            </w:r>
          </w:p>
          <w:p w:rsidR="00A72841" w:rsidRPr="008C3C0D" w:rsidRDefault="00A72841" w:rsidP="00A72841">
            <w:pPr>
              <w:spacing w:after="0"/>
              <w:jc w:val="right"/>
              <w:rPr>
                <w:rFonts w:ascii="Arial Narrow" w:hAnsi="Arial Narrow"/>
                <w:sz w:val="20"/>
                <w:szCs w:val="20"/>
              </w:rPr>
            </w:pPr>
            <w:r w:rsidRPr="008C3C0D">
              <w:rPr>
                <w:rFonts w:ascii="Arial Narrow" w:hAnsi="Arial Narrow"/>
                <w:noProof/>
                <w:sz w:val="20"/>
                <w:szCs w:val="20"/>
                <w:lang w:eastAsia="es-MX"/>
              </w:rPr>
              <w:t xml:space="preserve">Ciudad de México, </w:t>
            </w:r>
            <w:r w:rsidR="003A69C2" w:rsidRPr="008C3C0D">
              <w:rPr>
                <w:rFonts w:ascii="Arial Narrow" w:hAnsi="Arial Narrow"/>
                <w:noProof/>
                <w:sz w:val="20"/>
                <w:szCs w:val="20"/>
                <w:lang w:eastAsia="es-MX"/>
              </w:rPr>
              <w:t>22</w:t>
            </w:r>
            <w:r w:rsidRPr="008C3C0D">
              <w:rPr>
                <w:rFonts w:ascii="Arial Narrow" w:hAnsi="Arial Narrow"/>
                <w:noProof/>
                <w:sz w:val="20"/>
                <w:szCs w:val="20"/>
                <w:lang w:eastAsia="es-MX"/>
              </w:rPr>
              <w:t xml:space="preserve"> de </w:t>
            </w:r>
            <w:r w:rsidR="007F02D5" w:rsidRPr="008C3C0D">
              <w:rPr>
                <w:rFonts w:ascii="Arial Narrow" w:hAnsi="Arial Narrow"/>
                <w:noProof/>
                <w:sz w:val="20"/>
                <w:szCs w:val="20"/>
                <w:lang w:eastAsia="es-MX"/>
              </w:rPr>
              <w:t>marzo</w:t>
            </w:r>
            <w:r w:rsidRPr="008C3C0D">
              <w:rPr>
                <w:rFonts w:ascii="Arial Narrow" w:hAnsi="Arial Narrow"/>
                <w:sz w:val="20"/>
                <w:szCs w:val="20"/>
              </w:rPr>
              <w:t xml:space="preserve"> de 2019</w:t>
            </w:r>
          </w:p>
          <w:p w:rsidR="00A72841" w:rsidRPr="008C3C0D" w:rsidRDefault="00A72841" w:rsidP="00A72841">
            <w:pPr>
              <w:spacing w:after="0"/>
              <w:jc w:val="right"/>
              <w:rPr>
                <w:rFonts w:ascii="Arial Narrow" w:hAnsi="Arial Narrow"/>
                <w:sz w:val="20"/>
                <w:szCs w:val="20"/>
              </w:rPr>
            </w:pPr>
          </w:p>
          <w:p w:rsidR="00A72841" w:rsidRPr="008C3C0D" w:rsidRDefault="00A72841" w:rsidP="00A72841">
            <w:pPr>
              <w:autoSpaceDE w:val="0"/>
              <w:autoSpaceDN w:val="0"/>
              <w:adjustRightInd w:val="0"/>
              <w:spacing w:after="0"/>
              <w:rPr>
                <w:rFonts w:ascii="Arial Narrow" w:hAnsi="Arial Narrow"/>
                <w:b/>
                <w:bCs/>
                <w:sz w:val="20"/>
                <w:szCs w:val="20"/>
              </w:rPr>
            </w:pPr>
          </w:p>
          <w:p w:rsidR="00A72841" w:rsidRPr="008C3C0D" w:rsidRDefault="00A72841" w:rsidP="00A72841">
            <w:pPr>
              <w:autoSpaceDE w:val="0"/>
              <w:autoSpaceDN w:val="0"/>
              <w:adjustRightInd w:val="0"/>
              <w:spacing w:after="0"/>
              <w:rPr>
                <w:rFonts w:ascii="Arial Narrow" w:hAnsi="Arial Narrow"/>
                <w:sz w:val="20"/>
                <w:szCs w:val="20"/>
              </w:rPr>
            </w:pPr>
            <w:r w:rsidRPr="008C3C0D">
              <w:rPr>
                <w:rFonts w:ascii="Arial Narrow" w:hAnsi="Arial Narrow"/>
                <w:b/>
                <w:bCs/>
                <w:sz w:val="20"/>
                <w:szCs w:val="20"/>
              </w:rPr>
              <w:t xml:space="preserve">ASUNTO: </w:t>
            </w:r>
            <w:r w:rsidRPr="008C3C0D">
              <w:rPr>
                <w:rFonts w:ascii="Arial Narrow" w:hAnsi="Arial Narrow"/>
                <w:b/>
                <w:bCs/>
                <w:sz w:val="20"/>
                <w:szCs w:val="20"/>
              </w:rPr>
              <w:tab/>
              <w:t xml:space="preserve">Respuesta al Dictamen Preliminar, respecto del anteproyecto denominado </w:t>
            </w:r>
            <w:r w:rsidRPr="008C3C0D">
              <w:rPr>
                <w:rFonts w:ascii="Arial Narrow" w:hAnsi="Arial Narrow"/>
                <w:b/>
                <w:bCs/>
                <w:i/>
                <w:sz w:val="20"/>
                <w:szCs w:val="20"/>
              </w:rPr>
              <w:t>“Norma Oficial Mexicana NOM-001-CRE/SCFI-2018, Sistemas de medición de energía eléctrica – medidores y transformadores de medida – especificaciones metrológicas, métodos de prueba y procedimiento para la evaluación de la conformidad” R</w:t>
            </w:r>
            <w:r w:rsidRPr="008C3C0D">
              <w:rPr>
                <w:rFonts w:ascii="Arial Narrow" w:hAnsi="Arial Narrow"/>
                <w:b/>
                <w:bCs/>
                <w:sz w:val="20"/>
                <w:szCs w:val="20"/>
              </w:rPr>
              <w:t>ef. 65/0071/211217</w:t>
            </w:r>
          </w:p>
        </w:tc>
      </w:tr>
    </w:tbl>
    <w:p w:rsidR="00045E39" w:rsidRPr="008C3C0D" w:rsidRDefault="00045E39" w:rsidP="00A72841">
      <w:pPr>
        <w:spacing w:after="0"/>
        <w:jc w:val="left"/>
        <w:rPr>
          <w:rFonts w:ascii="Arial Narrow" w:hAnsi="Arial Narrow"/>
          <w:b/>
          <w:sz w:val="20"/>
          <w:szCs w:val="20"/>
        </w:rPr>
      </w:pPr>
    </w:p>
    <w:p w:rsidR="00045E39" w:rsidRPr="008C3C0D" w:rsidRDefault="00FB4E55" w:rsidP="00045E39">
      <w:pPr>
        <w:pStyle w:val="Prrafodelista"/>
        <w:spacing w:after="0" w:line="240" w:lineRule="auto"/>
        <w:ind w:left="0"/>
        <w:jc w:val="both"/>
        <w:rPr>
          <w:rFonts w:ascii="Arial Narrow" w:hAnsi="Arial Narrow" w:cs="Arial"/>
          <w:b/>
          <w:sz w:val="20"/>
          <w:szCs w:val="20"/>
        </w:rPr>
      </w:pPr>
      <w:r w:rsidRPr="008C3C0D">
        <w:rPr>
          <w:rFonts w:ascii="Arial Narrow" w:hAnsi="Arial Narrow" w:cs="Arial"/>
          <w:b/>
          <w:sz w:val="20"/>
          <w:szCs w:val="20"/>
        </w:rPr>
        <w:t xml:space="preserve">Gilberto Lepe Saenz </w:t>
      </w:r>
    </w:p>
    <w:p w:rsidR="00045E39" w:rsidRPr="008C3C0D" w:rsidRDefault="00FB4E55" w:rsidP="00045E39">
      <w:pPr>
        <w:pStyle w:val="Prrafodelista"/>
        <w:spacing w:after="0" w:line="240" w:lineRule="auto"/>
        <w:ind w:left="0"/>
        <w:jc w:val="both"/>
        <w:rPr>
          <w:rFonts w:ascii="Arial Narrow" w:hAnsi="Arial Narrow" w:cs="Arial"/>
          <w:sz w:val="20"/>
          <w:szCs w:val="20"/>
        </w:rPr>
      </w:pPr>
      <w:r w:rsidRPr="008C3C0D">
        <w:rPr>
          <w:rFonts w:ascii="Arial Narrow" w:hAnsi="Arial Narrow" w:cs="Arial"/>
          <w:sz w:val="20"/>
          <w:szCs w:val="20"/>
        </w:rPr>
        <w:t>Director de Manifestaciones de Impacto Regulatorio</w:t>
      </w:r>
    </w:p>
    <w:p w:rsidR="00045E39" w:rsidRPr="008C3C0D" w:rsidRDefault="00045E39" w:rsidP="00045E39">
      <w:pPr>
        <w:pStyle w:val="Prrafodelista"/>
        <w:spacing w:after="0" w:line="240" w:lineRule="auto"/>
        <w:ind w:left="0"/>
        <w:jc w:val="both"/>
        <w:rPr>
          <w:rFonts w:ascii="Arial Narrow" w:hAnsi="Arial Narrow" w:cs="Arial"/>
          <w:sz w:val="20"/>
          <w:szCs w:val="20"/>
        </w:rPr>
      </w:pPr>
      <w:r w:rsidRPr="008C3C0D">
        <w:rPr>
          <w:rFonts w:ascii="Arial Narrow" w:hAnsi="Arial Narrow" w:cs="Arial"/>
          <w:sz w:val="20"/>
          <w:szCs w:val="20"/>
        </w:rPr>
        <w:t>Comisión Nacional de Mejora Regulatoria</w:t>
      </w:r>
    </w:p>
    <w:p w:rsidR="00045E39" w:rsidRPr="008C3C0D" w:rsidRDefault="00045E39" w:rsidP="00045E39">
      <w:pPr>
        <w:pStyle w:val="Prrafodelista"/>
        <w:spacing w:after="0" w:line="240" w:lineRule="auto"/>
        <w:ind w:left="0"/>
        <w:jc w:val="both"/>
        <w:rPr>
          <w:rFonts w:ascii="Arial Narrow" w:hAnsi="Arial Narrow" w:cs="Arial"/>
          <w:sz w:val="20"/>
          <w:szCs w:val="20"/>
        </w:rPr>
      </w:pPr>
      <w:r w:rsidRPr="008C3C0D">
        <w:rPr>
          <w:rFonts w:ascii="Arial Narrow" w:hAnsi="Arial Narrow" w:cs="Arial"/>
          <w:sz w:val="20"/>
          <w:szCs w:val="20"/>
        </w:rPr>
        <w:t>Presente</w:t>
      </w:r>
    </w:p>
    <w:p w:rsidR="00045E39" w:rsidRPr="008C3C0D" w:rsidRDefault="00045E39" w:rsidP="00045E39">
      <w:pPr>
        <w:spacing w:after="0"/>
        <w:rPr>
          <w:rFonts w:ascii="Arial Narrow" w:hAnsi="Arial Narrow"/>
          <w:sz w:val="20"/>
          <w:szCs w:val="20"/>
        </w:rPr>
      </w:pPr>
      <w:r w:rsidRPr="008C3C0D">
        <w:rPr>
          <w:rFonts w:ascii="Arial Narrow" w:hAnsi="Arial Narrow"/>
          <w:sz w:val="20"/>
          <w:szCs w:val="20"/>
        </w:rPr>
        <w:t>Blvd. Adolfo López Mateos No. 3025, piso 10</w:t>
      </w:r>
    </w:p>
    <w:p w:rsidR="00045E39" w:rsidRPr="008C3C0D" w:rsidRDefault="00045E39" w:rsidP="00045E39">
      <w:pPr>
        <w:spacing w:after="0"/>
        <w:rPr>
          <w:rFonts w:ascii="Arial Narrow" w:hAnsi="Arial Narrow"/>
          <w:sz w:val="20"/>
          <w:szCs w:val="20"/>
        </w:rPr>
      </w:pPr>
      <w:r w:rsidRPr="008C3C0D">
        <w:rPr>
          <w:rFonts w:ascii="Arial Narrow" w:hAnsi="Arial Narrow"/>
          <w:sz w:val="20"/>
          <w:szCs w:val="20"/>
        </w:rPr>
        <w:t>Col. San Jerónimo Aculco, Magdalena Contreras</w:t>
      </w:r>
    </w:p>
    <w:p w:rsidR="00045E39" w:rsidRPr="008C3C0D" w:rsidRDefault="00045E39" w:rsidP="00045E39">
      <w:pPr>
        <w:spacing w:after="0"/>
        <w:rPr>
          <w:rFonts w:ascii="Arial Narrow" w:hAnsi="Arial Narrow"/>
          <w:sz w:val="20"/>
          <w:szCs w:val="20"/>
          <w:lang w:val="es-ES_tradnl"/>
        </w:rPr>
      </w:pPr>
      <w:r w:rsidRPr="008C3C0D">
        <w:rPr>
          <w:rFonts w:ascii="Arial Narrow" w:hAnsi="Arial Narrow"/>
          <w:sz w:val="20"/>
          <w:szCs w:val="20"/>
        </w:rPr>
        <w:t>10400, Ciudad de México</w:t>
      </w:r>
    </w:p>
    <w:p w:rsidR="009B7E5E" w:rsidRPr="008C3C0D" w:rsidRDefault="009B7E5E" w:rsidP="006B4A80">
      <w:pPr>
        <w:keepNext/>
        <w:rPr>
          <w:rFonts w:ascii="Arial Narrow" w:hAnsi="Arial Narrow"/>
          <w:sz w:val="20"/>
          <w:szCs w:val="20"/>
        </w:rPr>
      </w:pPr>
    </w:p>
    <w:p w:rsidR="009B7E5E" w:rsidRPr="008C3C0D" w:rsidRDefault="00C34265" w:rsidP="009B7E5E">
      <w:pPr>
        <w:keepNext/>
        <w:rPr>
          <w:rFonts w:ascii="Arial Narrow" w:hAnsi="Arial Narrow"/>
          <w:b/>
          <w:sz w:val="20"/>
          <w:szCs w:val="20"/>
        </w:rPr>
      </w:pPr>
      <w:r w:rsidRPr="008C3C0D">
        <w:rPr>
          <w:rFonts w:ascii="Arial Narrow" w:hAnsi="Arial Narrow"/>
          <w:b/>
          <w:sz w:val="20"/>
          <w:szCs w:val="20"/>
        </w:rPr>
        <w:t xml:space="preserve">Atención </w:t>
      </w:r>
      <w:r w:rsidR="00693973" w:rsidRPr="008C3C0D">
        <w:rPr>
          <w:rFonts w:ascii="Arial Narrow" w:hAnsi="Arial Narrow"/>
          <w:b/>
          <w:sz w:val="20"/>
          <w:szCs w:val="20"/>
        </w:rPr>
        <w:t>y respuesta al Oficio No. CONAMER/19</w:t>
      </w:r>
      <w:r w:rsidR="000950A5" w:rsidRPr="008C3C0D">
        <w:rPr>
          <w:rFonts w:ascii="Arial Narrow" w:hAnsi="Arial Narrow"/>
          <w:b/>
          <w:sz w:val="20"/>
          <w:szCs w:val="20"/>
        </w:rPr>
        <w:t>/</w:t>
      </w:r>
      <w:r w:rsidR="00693973" w:rsidRPr="008C3C0D">
        <w:rPr>
          <w:rFonts w:ascii="Arial Narrow" w:hAnsi="Arial Narrow"/>
          <w:b/>
          <w:sz w:val="20"/>
          <w:szCs w:val="20"/>
        </w:rPr>
        <w:t>0526</w:t>
      </w:r>
      <w:r w:rsidR="005E3880" w:rsidRPr="008C3C0D">
        <w:rPr>
          <w:rFonts w:ascii="Arial Narrow" w:hAnsi="Arial Narrow"/>
          <w:b/>
          <w:sz w:val="20"/>
          <w:szCs w:val="20"/>
        </w:rPr>
        <w:t xml:space="preserve">. </w:t>
      </w:r>
    </w:p>
    <w:p w:rsidR="009B7E5E" w:rsidRPr="008C3C0D" w:rsidRDefault="009B7E5E" w:rsidP="009B7E5E">
      <w:pPr>
        <w:keepNext/>
        <w:rPr>
          <w:rFonts w:ascii="Arial Narrow" w:hAnsi="Arial Narrow"/>
          <w:sz w:val="20"/>
          <w:szCs w:val="20"/>
        </w:rPr>
      </w:pPr>
    </w:p>
    <w:p w:rsidR="00A72841" w:rsidRPr="008C3C0D" w:rsidRDefault="000950A5" w:rsidP="00A72841">
      <w:pPr>
        <w:spacing w:after="0"/>
        <w:rPr>
          <w:rFonts w:ascii="Arial Narrow" w:hAnsi="Arial Narrow"/>
          <w:sz w:val="20"/>
          <w:szCs w:val="20"/>
        </w:rPr>
      </w:pPr>
      <w:r w:rsidRPr="008C3C0D">
        <w:rPr>
          <w:rFonts w:ascii="Arial Narrow" w:hAnsi="Arial Narrow"/>
          <w:sz w:val="20"/>
          <w:szCs w:val="20"/>
        </w:rPr>
        <w:t xml:space="preserve">En referencia </w:t>
      </w:r>
      <w:r w:rsidR="00693973" w:rsidRPr="008C3C0D">
        <w:rPr>
          <w:rFonts w:ascii="Arial Narrow" w:hAnsi="Arial Narrow"/>
          <w:sz w:val="20"/>
          <w:szCs w:val="20"/>
        </w:rPr>
        <w:t>al Oficio No. CONAMER</w:t>
      </w:r>
      <w:r w:rsidRPr="008C3C0D">
        <w:rPr>
          <w:rFonts w:ascii="Arial Narrow" w:hAnsi="Arial Narrow"/>
          <w:sz w:val="20"/>
          <w:szCs w:val="20"/>
        </w:rPr>
        <w:t>/</w:t>
      </w:r>
      <w:r w:rsidR="00693973" w:rsidRPr="008C3C0D">
        <w:rPr>
          <w:rFonts w:ascii="Arial Narrow" w:hAnsi="Arial Narrow"/>
          <w:sz w:val="20"/>
          <w:szCs w:val="20"/>
        </w:rPr>
        <w:t>19</w:t>
      </w:r>
      <w:r w:rsidRPr="008C3C0D">
        <w:rPr>
          <w:rFonts w:ascii="Arial Narrow" w:hAnsi="Arial Narrow"/>
          <w:sz w:val="20"/>
          <w:szCs w:val="20"/>
        </w:rPr>
        <w:t>/</w:t>
      </w:r>
      <w:r w:rsidR="00606798" w:rsidRPr="008C3C0D">
        <w:rPr>
          <w:rFonts w:ascii="Arial Narrow" w:hAnsi="Arial Narrow"/>
          <w:sz w:val="20"/>
          <w:szCs w:val="20"/>
        </w:rPr>
        <w:t>0526</w:t>
      </w:r>
      <w:r w:rsidRPr="008C3C0D">
        <w:rPr>
          <w:rFonts w:ascii="Arial Narrow" w:hAnsi="Arial Narrow"/>
          <w:sz w:val="20"/>
          <w:szCs w:val="20"/>
        </w:rPr>
        <w:t>, recibido en la Comisión Reguladora de Energía (la C</w:t>
      </w:r>
      <w:r w:rsidR="00E24B89" w:rsidRPr="008C3C0D">
        <w:rPr>
          <w:rFonts w:ascii="Arial Narrow" w:hAnsi="Arial Narrow"/>
          <w:sz w:val="20"/>
          <w:szCs w:val="20"/>
        </w:rPr>
        <w:t>RE</w:t>
      </w:r>
      <w:r w:rsidRPr="008C3C0D">
        <w:rPr>
          <w:rFonts w:ascii="Arial Narrow" w:hAnsi="Arial Narrow"/>
          <w:sz w:val="20"/>
          <w:szCs w:val="20"/>
        </w:rPr>
        <w:t>) el 1</w:t>
      </w:r>
      <w:r w:rsidR="00606798" w:rsidRPr="008C3C0D">
        <w:rPr>
          <w:rFonts w:ascii="Arial Narrow" w:hAnsi="Arial Narrow"/>
          <w:sz w:val="20"/>
          <w:szCs w:val="20"/>
        </w:rPr>
        <w:t>4</w:t>
      </w:r>
      <w:r w:rsidRPr="008C3C0D">
        <w:rPr>
          <w:rFonts w:ascii="Arial Narrow" w:hAnsi="Arial Narrow"/>
          <w:sz w:val="20"/>
          <w:szCs w:val="20"/>
        </w:rPr>
        <w:t xml:space="preserve"> de </w:t>
      </w:r>
      <w:r w:rsidR="00606798" w:rsidRPr="008C3C0D">
        <w:rPr>
          <w:rFonts w:ascii="Arial Narrow" w:hAnsi="Arial Narrow"/>
          <w:sz w:val="20"/>
          <w:szCs w:val="20"/>
        </w:rPr>
        <w:t>febrero</w:t>
      </w:r>
      <w:r w:rsidRPr="008C3C0D">
        <w:rPr>
          <w:rFonts w:ascii="Arial Narrow" w:hAnsi="Arial Narrow"/>
          <w:sz w:val="20"/>
          <w:szCs w:val="20"/>
        </w:rPr>
        <w:t xml:space="preserve"> de 201</w:t>
      </w:r>
      <w:r w:rsidR="00606798" w:rsidRPr="008C3C0D">
        <w:rPr>
          <w:rFonts w:ascii="Arial Narrow" w:hAnsi="Arial Narrow"/>
          <w:sz w:val="20"/>
          <w:szCs w:val="20"/>
        </w:rPr>
        <w:t>9</w:t>
      </w:r>
      <w:r w:rsidRPr="008C3C0D">
        <w:rPr>
          <w:rFonts w:ascii="Arial Narrow" w:hAnsi="Arial Narrow"/>
          <w:sz w:val="20"/>
          <w:szCs w:val="20"/>
        </w:rPr>
        <w:t xml:space="preserve">, mediante el cual la Comisión Nacional de Mejora Regulatoria (CONAMER) </w:t>
      </w:r>
      <w:r w:rsidR="005E3880" w:rsidRPr="008C3C0D">
        <w:rPr>
          <w:rFonts w:ascii="Arial Narrow" w:hAnsi="Arial Narrow"/>
          <w:sz w:val="20"/>
          <w:szCs w:val="20"/>
        </w:rPr>
        <w:t>comunica a</w:t>
      </w:r>
      <w:r w:rsidRPr="008C3C0D">
        <w:rPr>
          <w:rFonts w:ascii="Arial Narrow" w:hAnsi="Arial Narrow"/>
          <w:sz w:val="20"/>
          <w:szCs w:val="20"/>
        </w:rPr>
        <w:t xml:space="preserve"> la Comisión </w:t>
      </w:r>
      <w:r w:rsidR="00606798" w:rsidRPr="008C3C0D">
        <w:rPr>
          <w:rFonts w:ascii="Arial Narrow" w:hAnsi="Arial Narrow"/>
          <w:sz w:val="20"/>
          <w:szCs w:val="20"/>
        </w:rPr>
        <w:t xml:space="preserve">el </w:t>
      </w:r>
      <w:r w:rsidR="000A6853" w:rsidRPr="008C3C0D">
        <w:rPr>
          <w:rFonts w:ascii="Arial Narrow" w:hAnsi="Arial Narrow"/>
          <w:sz w:val="20"/>
          <w:szCs w:val="20"/>
        </w:rPr>
        <w:t>Dictamen</w:t>
      </w:r>
      <w:r w:rsidR="00606798" w:rsidRPr="008C3C0D">
        <w:rPr>
          <w:rFonts w:ascii="Arial Narrow" w:hAnsi="Arial Narrow"/>
          <w:sz w:val="20"/>
          <w:szCs w:val="20"/>
        </w:rPr>
        <w:t xml:space="preserve"> Preliminar </w:t>
      </w:r>
      <w:r w:rsidR="000A6853" w:rsidRPr="008C3C0D">
        <w:rPr>
          <w:rFonts w:ascii="Arial Narrow" w:hAnsi="Arial Narrow"/>
          <w:sz w:val="20"/>
          <w:szCs w:val="20"/>
        </w:rPr>
        <w:t xml:space="preserve">del anteproyecto </w:t>
      </w:r>
      <w:r w:rsidR="000A6853" w:rsidRPr="008C3C0D">
        <w:rPr>
          <w:rFonts w:ascii="Arial Narrow" w:hAnsi="Arial Narrow"/>
          <w:i/>
          <w:sz w:val="20"/>
          <w:szCs w:val="20"/>
        </w:rPr>
        <w:t>“Norma Oficial Mexicana NOM-001-CRE/SCFI-2018, Sistemas de m</w:t>
      </w:r>
      <w:r w:rsidR="00A72841" w:rsidRPr="008C3C0D">
        <w:rPr>
          <w:rFonts w:ascii="Arial Narrow" w:hAnsi="Arial Narrow"/>
          <w:i/>
          <w:sz w:val="20"/>
          <w:szCs w:val="20"/>
        </w:rPr>
        <w:t>edición de energía eléctrica – M</w:t>
      </w:r>
      <w:r w:rsidR="000A6853" w:rsidRPr="008C3C0D">
        <w:rPr>
          <w:rFonts w:ascii="Arial Narrow" w:hAnsi="Arial Narrow"/>
          <w:i/>
          <w:sz w:val="20"/>
          <w:szCs w:val="20"/>
        </w:rPr>
        <w:t>edidores</w:t>
      </w:r>
      <w:r w:rsidR="00A72841" w:rsidRPr="008C3C0D">
        <w:rPr>
          <w:rFonts w:ascii="Arial Narrow" w:hAnsi="Arial Narrow"/>
          <w:i/>
          <w:sz w:val="20"/>
          <w:szCs w:val="20"/>
        </w:rPr>
        <w:t xml:space="preserve"> y transformadores de medida – E</w:t>
      </w:r>
      <w:r w:rsidR="000A6853" w:rsidRPr="008C3C0D">
        <w:rPr>
          <w:rFonts w:ascii="Arial Narrow" w:hAnsi="Arial Narrow"/>
          <w:i/>
          <w:sz w:val="20"/>
          <w:szCs w:val="20"/>
        </w:rPr>
        <w:t>specificaciones metrológicas, métodos de prueba y procedimiento para la evaluación de la conformidad</w:t>
      </w:r>
      <w:r w:rsidR="00A72841" w:rsidRPr="008C3C0D">
        <w:rPr>
          <w:rFonts w:ascii="Arial Narrow" w:hAnsi="Arial Narrow"/>
          <w:i/>
          <w:sz w:val="20"/>
          <w:szCs w:val="20"/>
        </w:rPr>
        <w:t>,</w:t>
      </w:r>
      <w:r w:rsidRPr="008C3C0D">
        <w:rPr>
          <w:rFonts w:ascii="Arial Narrow" w:hAnsi="Arial Narrow"/>
          <w:sz w:val="20"/>
          <w:szCs w:val="20"/>
        </w:rPr>
        <w:t xml:space="preserve"> en atención a las observaciones incluidas en el oficio antes mencionado, </w:t>
      </w:r>
      <w:r w:rsidR="00221AA9" w:rsidRPr="008C3C0D">
        <w:rPr>
          <w:rFonts w:ascii="Arial Narrow" w:hAnsi="Arial Narrow"/>
          <w:sz w:val="20"/>
          <w:szCs w:val="20"/>
        </w:rPr>
        <w:t xml:space="preserve">se emiten las siguientes respuestas: </w:t>
      </w:r>
    </w:p>
    <w:p w:rsidR="00A72841" w:rsidRPr="008C3C0D" w:rsidRDefault="00A72841" w:rsidP="00A72841">
      <w:pPr>
        <w:spacing w:after="0"/>
        <w:rPr>
          <w:rFonts w:ascii="Arial Narrow" w:hAnsi="Arial Narrow"/>
          <w:sz w:val="20"/>
          <w:szCs w:val="20"/>
        </w:rPr>
      </w:pPr>
    </w:p>
    <w:p w:rsidR="00A72841" w:rsidRDefault="00D46307" w:rsidP="00A72841">
      <w:pPr>
        <w:spacing w:after="0"/>
        <w:rPr>
          <w:rFonts w:ascii="Arial Narrow" w:hAnsi="Arial Narrow"/>
          <w:b/>
          <w:sz w:val="20"/>
          <w:szCs w:val="20"/>
        </w:rPr>
      </w:pPr>
      <w:r w:rsidRPr="008C3C0D">
        <w:rPr>
          <w:rFonts w:ascii="Arial Narrow" w:hAnsi="Arial Narrow"/>
          <w:b/>
          <w:sz w:val="20"/>
          <w:szCs w:val="20"/>
        </w:rPr>
        <w:t>Dictamen Preliminar de CONAMER</w:t>
      </w:r>
      <w:r w:rsidR="0038131B" w:rsidRPr="008C3C0D">
        <w:rPr>
          <w:rFonts w:ascii="Arial Narrow" w:hAnsi="Arial Narrow"/>
          <w:b/>
          <w:sz w:val="20"/>
          <w:szCs w:val="20"/>
        </w:rPr>
        <w:t xml:space="preserve">: </w:t>
      </w:r>
    </w:p>
    <w:p w:rsidR="00177418" w:rsidRPr="008C3C0D" w:rsidRDefault="00177418" w:rsidP="00A72841">
      <w:pPr>
        <w:spacing w:after="0"/>
        <w:rPr>
          <w:rFonts w:ascii="Arial Narrow" w:hAnsi="Arial Narrow"/>
          <w:b/>
          <w:sz w:val="20"/>
          <w:szCs w:val="20"/>
        </w:rPr>
      </w:pPr>
    </w:p>
    <w:p w:rsidR="00A72841" w:rsidRPr="008C3C0D" w:rsidRDefault="00FE182C" w:rsidP="00D46307">
      <w:pPr>
        <w:pStyle w:val="Prrafodelista"/>
        <w:numPr>
          <w:ilvl w:val="0"/>
          <w:numId w:val="26"/>
        </w:numPr>
        <w:spacing w:after="0"/>
        <w:ind w:left="1134" w:right="900" w:firstLine="0"/>
        <w:rPr>
          <w:rFonts w:ascii="Arial Narrow" w:hAnsi="Arial Narrow" w:cs="Arial"/>
          <w:b/>
          <w:i/>
          <w:sz w:val="20"/>
          <w:szCs w:val="20"/>
        </w:rPr>
      </w:pPr>
      <w:r w:rsidRPr="008C3C0D">
        <w:rPr>
          <w:rFonts w:ascii="Arial Narrow" w:hAnsi="Arial Narrow" w:cs="Arial"/>
          <w:b/>
          <w:i/>
          <w:sz w:val="20"/>
          <w:szCs w:val="20"/>
        </w:rPr>
        <w:t>Consideraciones respecto al requerimiento de simplificación regulatoria</w:t>
      </w:r>
    </w:p>
    <w:p w:rsidR="00A72841" w:rsidRPr="008C3C0D" w:rsidRDefault="00FE182C" w:rsidP="00D46307">
      <w:pPr>
        <w:spacing w:after="0"/>
        <w:ind w:left="1134" w:right="900"/>
        <w:rPr>
          <w:rFonts w:ascii="Arial Narrow" w:hAnsi="Arial Narrow"/>
          <w:i/>
          <w:sz w:val="20"/>
          <w:szCs w:val="20"/>
        </w:rPr>
      </w:pPr>
      <w:r w:rsidRPr="008C3C0D">
        <w:rPr>
          <w:rFonts w:ascii="Arial Narrow" w:hAnsi="Arial Narrow"/>
          <w:i/>
          <w:sz w:val="20"/>
          <w:szCs w:val="20"/>
        </w:rPr>
        <w:t>(…)</w:t>
      </w:r>
    </w:p>
    <w:p w:rsidR="00D46307" w:rsidRPr="008C3C0D" w:rsidRDefault="00B50A7C" w:rsidP="00D46307">
      <w:pPr>
        <w:spacing w:after="0"/>
        <w:ind w:left="1134" w:right="900"/>
        <w:rPr>
          <w:rFonts w:ascii="Arial Narrow" w:hAnsi="Arial Narrow"/>
          <w:b/>
          <w:i/>
          <w:sz w:val="20"/>
          <w:szCs w:val="20"/>
        </w:rPr>
      </w:pPr>
      <w:r w:rsidRPr="008C3C0D">
        <w:rPr>
          <w:rFonts w:ascii="Arial Narrow" w:hAnsi="Arial Narrow"/>
          <w:i/>
          <w:sz w:val="20"/>
          <w:szCs w:val="20"/>
        </w:rPr>
        <w:t xml:space="preserve">Derivado de lo anterior, el resultado que indica la CRE de restar ahorros contra los reportados es de: </w:t>
      </w:r>
      <w:r w:rsidRPr="008C3C0D">
        <w:rPr>
          <w:rFonts w:ascii="Arial Narrow" w:hAnsi="Arial Narrow"/>
          <w:b/>
          <w:i/>
          <w:sz w:val="20"/>
          <w:szCs w:val="20"/>
        </w:rPr>
        <w:t>$17,973,035.96.</w:t>
      </w:r>
    </w:p>
    <w:p w:rsidR="00D46307" w:rsidRPr="008C3C0D" w:rsidRDefault="00D46307" w:rsidP="00D46307">
      <w:pPr>
        <w:spacing w:after="0"/>
        <w:ind w:left="1134" w:right="900"/>
        <w:rPr>
          <w:rFonts w:ascii="Arial Narrow" w:hAnsi="Arial Narrow"/>
          <w:b/>
          <w:i/>
          <w:sz w:val="20"/>
          <w:szCs w:val="20"/>
        </w:rPr>
      </w:pPr>
    </w:p>
    <w:p w:rsidR="00F667EB" w:rsidRPr="008C3C0D" w:rsidRDefault="00B50A7C" w:rsidP="00D46307">
      <w:pPr>
        <w:spacing w:after="0"/>
        <w:ind w:left="1134" w:right="900"/>
        <w:rPr>
          <w:rFonts w:ascii="Arial Narrow" w:hAnsi="Arial Narrow"/>
          <w:i/>
          <w:sz w:val="20"/>
          <w:szCs w:val="20"/>
        </w:rPr>
      </w:pPr>
      <w:r w:rsidRPr="008C3C0D">
        <w:rPr>
          <w:rFonts w:ascii="Arial Narrow" w:hAnsi="Arial Narrow"/>
          <w:i/>
          <w:sz w:val="20"/>
          <w:szCs w:val="20"/>
        </w:rPr>
        <w:t xml:space="preserve">No </w:t>
      </w:r>
      <w:r w:rsidR="005A2964" w:rsidRPr="008C3C0D">
        <w:rPr>
          <w:rFonts w:ascii="Arial Narrow" w:hAnsi="Arial Narrow"/>
          <w:i/>
          <w:sz w:val="20"/>
          <w:szCs w:val="20"/>
        </w:rPr>
        <w:t>obstante</w:t>
      </w:r>
      <w:r w:rsidRPr="008C3C0D">
        <w:rPr>
          <w:rFonts w:ascii="Arial Narrow" w:hAnsi="Arial Narrow"/>
          <w:i/>
          <w:sz w:val="20"/>
          <w:szCs w:val="20"/>
        </w:rPr>
        <w:t xml:space="preserve"> lo anterior, y cuando la cifra de ahorros económicos por los actos propuestos para ser derogados resulta mayor, la CONAMER tiene las siguientes observaciones a partir de la información proporcionada por la CRE en el formulario AIR y sus documentos anexos</w:t>
      </w:r>
    </w:p>
    <w:p w:rsidR="008C3C0D" w:rsidRDefault="008C3C0D" w:rsidP="008C3C0D">
      <w:pPr>
        <w:spacing w:after="0"/>
        <w:ind w:left="1134" w:right="900"/>
        <w:rPr>
          <w:rFonts w:ascii="Arial Narrow" w:hAnsi="Arial Narrow"/>
          <w:i/>
          <w:sz w:val="20"/>
          <w:szCs w:val="20"/>
        </w:rPr>
      </w:pPr>
      <w:r>
        <w:rPr>
          <w:rFonts w:ascii="Arial Narrow" w:hAnsi="Arial Narrow"/>
          <w:i/>
          <w:sz w:val="20"/>
          <w:szCs w:val="20"/>
        </w:rPr>
        <w:t>(sic)</w:t>
      </w:r>
    </w:p>
    <w:p w:rsidR="00177418" w:rsidRDefault="00177418" w:rsidP="00177418">
      <w:pPr>
        <w:spacing w:after="0"/>
        <w:ind w:left="1134"/>
        <w:rPr>
          <w:rFonts w:ascii="Arial Narrow" w:hAnsi="Arial Narrow"/>
          <w:b/>
          <w:i/>
          <w:sz w:val="20"/>
          <w:szCs w:val="20"/>
        </w:rPr>
      </w:pPr>
    </w:p>
    <w:p w:rsidR="00177418" w:rsidRPr="00177418" w:rsidRDefault="00177418" w:rsidP="00177418">
      <w:pPr>
        <w:spacing w:after="0"/>
        <w:ind w:left="1134"/>
        <w:rPr>
          <w:rFonts w:ascii="Arial Narrow" w:hAnsi="Arial Narrow"/>
          <w:b/>
          <w:i/>
          <w:sz w:val="20"/>
          <w:szCs w:val="20"/>
        </w:rPr>
      </w:pPr>
      <w:r w:rsidRPr="00177418">
        <w:rPr>
          <w:rFonts w:ascii="Arial Narrow" w:hAnsi="Arial Narrow"/>
          <w:b/>
          <w:i/>
          <w:sz w:val="20"/>
          <w:szCs w:val="20"/>
        </w:rPr>
        <w:t>(Primera Observación CONAMER)</w:t>
      </w:r>
    </w:p>
    <w:p w:rsidR="008C3C0D" w:rsidRDefault="008C3C0D" w:rsidP="008C3C0D">
      <w:pPr>
        <w:spacing w:after="0"/>
        <w:ind w:left="1134" w:right="900"/>
        <w:rPr>
          <w:rFonts w:ascii="Arial Narrow" w:hAnsi="Arial Narrow"/>
          <w:i/>
          <w:sz w:val="20"/>
          <w:szCs w:val="20"/>
        </w:rPr>
      </w:pPr>
      <w:r>
        <w:rPr>
          <w:rFonts w:ascii="Arial Narrow" w:hAnsi="Arial Narrow"/>
          <w:i/>
          <w:sz w:val="20"/>
          <w:szCs w:val="20"/>
        </w:rPr>
        <w:t xml:space="preserve">1.- </w:t>
      </w:r>
      <w:r w:rsidR="006B4198" w:rsidRPr="008C3C0D">
        <w:rPr>
          <w:rFonts w:ascii="Arial Narrow" w:hAnsi="Arial Narrow"/>
          <w:i/>
          <w:sz w:val="20"/>
          <w:szCs w:val="20"/>
        </w:rPr>
        <w:t>Es necesario que la CRE estime costos de cumplimiento manera agregada, toda vez que la aproximación económica la realiza de manera unitaria.</w:t>
      </w:r>
    </w:p>
    <w:p w:rsidR="00D46307" w:rsidRPr="008C3C0D" w:rsidRDefault="00D46307" w:rsidP="008C3C0D">
      <w:pPr>
        <w:spacing w:after="0"/>
        <w:ind w:left="1134" w:right="900"/>
        <w:rPr>
          <w:rFonts w:ascii="Arial Narrow" w:hAnsi="Arial Narrow"/>
          <w:sz w:val="20"/>
          <w:szCs w:val="20"/>
        </w:rPr>
      </w:pPr>
      <w:r w:rsidRPr="008C3C0D">
        <w:rPr>
          <w:rFonts w:ascii="Arial Narrow" w:hAnsi="Arial Narrow"/>
          <w:i/>
          <w:sz w:val="20"/>
          <w:szCs w:val="20"/>
        </w:rPr>
        <w:t>(sic)</w:t>
      </w:r>
    </w:p>
    <w:p w:rsidR="00E24B89" w:rsidRPr="008C3C0D" w:rsidRDefault="00E24B89" w:rsidP="00E24B89">
      <w:pPr>
        <w:keepNext/>
        <w:ind w:right="900"/>
        <w:rPr>
          <w:rFonts w:ascii="Arial Narrow" w:hAnsi="Arial Narrow"/>
          <w:i/>
          <w:sz w:val="20"/>
          <w:szCs w:val="20"/>
        </w:rPr>
      </w:pPr>
    </w:p>
    <w:p w:rsidR="00E24B89" w:rsidRPr="008C3C0D" w:rsidRDefault="00E24B89" w:rsidP="00E24B89">
      <w:pPr>
        <w:keepNext/>
        <w:ind w:right="-93"/>
        <w:rPr>
          <w:rFonts w:ascii="Arial Narrow" w:hAnsi="Arial Narrow"/>
          <w:sz w:val="20"/>
          <w:szCs w:val="20"/>
        </w:rPr>
      </w:pPr>
      <w:r w:rsidRPr="008C3C0D">
        <w:rPr>
          <w:rFonts w:ascii="Arial Narrow" w:hAnsi="Arial Narrow"/>
          <w:sz w:val="20"/>
          <w:szCs w:val="20"/>
        </w:rPr>
        <w:t xml:space="preserve">Considerando esta observación y las subsecuentes, formuladas por la CONAMER, la CRE considera oportuno replantear los capítulos 10 y 11 de AIR, ello con objeto de </w:t>
      </w:r>
      <w:r w:rsidR="008C3C0D">
        <w:rPr>
          <w:rFonts w:ascii="Arial Narrow" w:hAnsi="Arial Narrow"/>
          <w:sz w:val="20"/>
          <w:szCs w:val="20"/>
        </w:rPr>
        <w:t xml:space="preserve">mostrar costos agregados, </w:t>
      </w:r>
      <w:r w:rsidRPr="008C3C0D">
        <w:rPr>
          <w:rFonts w:ascii="Arial Narrow" w:hAnsi="Arial Narrow"/>
          <w:sz w:val="20"/>
          <w:szCs w:val="20"/>
        </w:rPr>
        <w:t>corregir los errores aritméticos</w:t>
      </w:r>
      <w:r w:rsidR="00B1691F" w:rsidRPr="008C3C0D">
        <w:rPr>
          <w:rFonts w:ascii="Arial Narrow" w:hAnsi="Arial Narrow"/>
          <w:sz w:val="20"/>
          <w:szCs w:val="20"/>
        </w:rPr>
        <w:t xml:space="preserve">, ser consistentes </w:t>
      </w:r>
      <w:r w:rsidR="00B1691F" w:rsidRPr="008C3C0D">
        <w:rPr>
          <w:rFonts w:ascii="Arial Narrow" w:hAnsi="Arial Narrow"/>
          <w:sz w:val="20"/>
          <w:szCs w:val="20"/>
        </w:rPr>
        <w:lastRenderedPageBreak/>
        <w:t>en las cifras</w:t>
      </w:r>
      <w:r w:rsidR="008422EF" w:rsidRPr="008C3C0D">
        <w:rPr>
          <w:rFonts w:ascii="Arial Narrow" w:hAnsi="Arial Narrow"/>
          <w:sz w:val="20"/>
          <w:szCs w:val="20"/>
        </w:rPr>
        <w:t>, incluir todos los costos en este apartado</w:t>
      </w:r>
      <w:r w:rsidRPr="008C3C0D">
        <w:rPr>
          <w:rFonts w:ascii="Arial Narrow" w:hAnsi="Arial Narrow"/>
          <w:sz w:val="20"/>
          <w:szCs w:val="20"/>
        </w:rPr>
        <w:t xml:space="preserve"> y facilitar la lectura e interpretación de dichos capítulos.</w:t>
      </w:r>
      <w:r w:rsidR="000D2737">
        <w:rPr>
          <w:rFonts w:ascii="Arial Narrow" w:hAnsi="Arial Narrow"/>
          <w:sz w:val="20"/>
          <w:szCs w:val="20"/>
        </w:rPr>
        <w:t xml:space="preserve"> Véase </w:t>
      </w:r>
      <w:r w:rsidR="0011132F">
        <w:rPr>
          <w:rFonts w:ascii="Arial Narrow" w:hAnsi="Arial Narrow"/>
          <w:sz w:val="20"/>
          <w:szCs w:val="20"/>
        </w:rPr>
        <w:t>“</w:t>
      </w:r>
      <w:r w:rsidR="0011132F" w:rsidRPr="008C3C0D">
        <w:rPr>
          <w:rFonts w:ascii="Arial Narrow" w:hAnsi="Arial Narrow"/>
          <w:sz w:val="20"/>
          <w:szCs w:val="20"/>
        </w:rPr>
        <w:t xml:space="preserve">Anexo </w:t>
      </w:r>
      <w:r w:rsidR="0011132F">
        <w:rPr>
          <w:rFonts w:ascii="Arial Narrow" w:hAnsi="Arial Narrow"/>
          <w:sz w:val="20"/>
          <w:szCs w:val="20"/>
        </w:rPr>
        <w:t>Capítulos 10 y 11”</w:t>
      </w:r>
      <w:r w:rsidR="006D67CC">
        <w:rPr>
          <w:rFonts w:ascii="Arial Narrow" w:hAnsi="Arial Narrow"/>
          <w:sz w:val="20"/>
          <w:szCs w:val="20"/>
        </w:rPr>
        <w:t>.</w:t>
      </w:r>
    </w:p>
    <w:tbl>
      <w:tblPr>
        <w:tblStyle w:val="Tablaconcuadrcula"/>
        <w:tblW w:w="10746" w:type="dxa"/>
        <w:tblInd w:w="-686" w:type="dxa"/>
        <w:tblLook w:val="04A0" w:firstRow="1" w:lastRow="0" w:firstColumn="1" w:lastColumn="0" w:noHBand="0" w:noVBand="1"/>
      </w:tblPr>
      <w:tblGrid>
        <w:gridCol w:w="10746"/>
      </w:tblGrid>
      <w:tr w:rsidR="0061261B" w:rsidTr="0061261B">
        <w:tc>
          <w:tcPr>
            <w:tcW w:w="10746" w:type="dxa"/>
          </w:tcPr>
          <w:p w:rsidR="0061261B" w:rsidRDefault="0061261B" w:rsidP="000D2737">
            <w:pPr>
              <w:keepNext/>
              <w:ind w:right="-93"/>
              <w:rPr>
                <w:rFonts w:ascii="Arial Narrow" w:hAnsi="Arial Narrow"/>
                <w:i/>
                <w:sz w:val="20"/>
                <w:szCs w:val="20"/>
              </w:rPr>
            </w:pPr>
          </w:p>
          <w:p w:rsidR="0061261B" w:rsidRPr="00B64069" w:rsidRDefault="0061261B" w:rsidP="0061261B">
            <w:pPr>
              <w:keepNext/>
              <w:ind w:right="179"/>
              <w:rPr>
                <w:rFonts w:ascii="Arial Narrow" w:hAnsi="Arial Narrow"/>
                <w:b/>
                <w:i/>
                <w:sz w:val="20"/>
                <w:szCs w:val="20"/>
              </w:rPr>
            </w:pPr>
            <w:r w:rsidRPr="00B64069">
              <w:rPr>
                <w:rFonts w:ascii="Arial Narrow" w:hAnsi="Arial Narrow"/>
                <w:b/>
                <w:i/>
                <w:sz w:val="20"/>
                <w:szCs w:val="20"/>
              </w:rPr>
              <w:t xml:space="preserve">Considérese la siguiente información como replanteamiento para atender el </w:t>
            </w:r>
            <w:r w:rsidRPr="00B64069">
              <w:rPr>
                <w:rFonts w:ascii="Arial Narrow" w:hAnsi="Arial Narrow"/>
                <w:b/>
                <w:sz w:val="20"/>
                <w:szCs w:val="20"/>
              </w:rPr>
              <w:t>cumplimiento del Artículo Quinto del Acuerdo Presidencial.</w:t>
            </w:r>
          </w:p>
          <w:p w:rsidR="0061261B" w:rsidRPr="00B64069" w:rsidRDefault="0061261B" w:rsidP="0061261B">
            <w:pPr>
              <w:keepNext/>
              <w:ind w:right="-93"/>
              <w:rPr>
                <w:rFonts w:ascii="Arial Narrow" w:hAnsi="Arial Narrow"/>
                <w:sz w:val="20"/>
                <w:szCs w:val="20"/>
              </w:rPr>
            </w:pPr>
          </w:p>
          <w:p w:rsidR="0061261B" w:rsidRPr="00B64069" w:rsidRDefault="0061261B" w:rsidP="0061261B">
            <w:pPr>
              <w:keepNext/>
              <w:ind w:right="179"/>
              <w:rPr>
                <w:rFonts w:ascii="Arial Narrow" w:hAnsi="Arial Narrow"/>
                <w:sz w:val="20"/>
                <w:szCs w:val="20"/>
              </w:rPr>
            </w:pPr>
            <w:r w:rsidRPr="00B64069">
              <w:rPr>
                <w:rFonts w:ascii="Arial Narrow" w:hAnsi="Arial Narrow"/>
                <w:sz w:val="20"/>
                <w:szCs w:val="20"/>
              </w:rPr>
              <w:t>Derivado de tal replanteamiento se tiene que, los Costos Agregados que implica el esquema actual (C</w:t>
            </w:r>
            <w:r w:rsidRPr="00B64069">
              <w:rPr>
                <w:rFonts w:ascii="Arial Narrow" w:hAnsi="Arial Narrow"/>
                <w:sz w:val="20"/>
                <w:szCs w:val="20"/>
                <w:vertAlign w:val="subscript"/>
              </w:rPr>
              <w:t>E</w:t>
            </w:r>
            <w:r w:rsidR="00917AF2" w:rsidRPr="00B64069">
              <w:rPr>
                <w:rFonts w:ascii="Arial Narrow" w:hAnsi="Arial Narrow"/>
                <w:sz w:val="20"/>
                <w:szCs w:val="20"/>
                <w:vertAlign w:val="subscript"/>
              </w:rPr>
              <w:t>T</w:t>
            </w:r>
            <w:r w:rsidRPr="00B64069">
              <w:rPr>
                <w:rFonts w:ascii="Arial Narrow" w:hAnsi="Arial Narrow"/>
                <w:sz w:val="20"/>
                <w:szCs w:val="20"/>
              </w:rPr>
              <w:t xml:space="preserve">) corresponden a </w:t>
            </w:r>
            <w:r w:rsidR="00947C61" w:rsidRPr="00B64069">
              <w:rPr>
                <w:rFonts w:ascii="Arial Narrow" w:hAnsi="Arial Narrow"/>
                <w:sz w:val="20"/>
                <w:szCs w:val="20"/>
              </w:rPr>
              <w:t>l</w:t>
            </w:r>
            <w:r w:rsidRPr="00B64069">
              <w:rPr>
                <w:rFonts w:ascii="Arial Narrow" w:hAnsi="Arial Narrow"/>
                <w:sz w:val="20"/>
                <w:szCs w:val="20"/>
              </w:rPr>
              <w:t xml:space="preserve">os costos por la aprobación de los prototipos de medidores y transformadores con las especificaciones de CFE, lo cual asciende a </w:t>
            </w:r>
            <w:r w:rsidRPr="00B64069">
              <w:rPr>
                <w:rFonts w:ascii="Arial Narrow" w:hAnsi="Arial Narrow"/>
                <w:b/>
                <w:sz w:val="20"/>
                <w:szCs w:val="20"/>
              </w:rPr>
              <w:t>C</w:t>
            </w:r>
            <w:r w:rsidR="00947C61" w:rsidRPr="00B64069">
              <w:rPr>
                <w:rFonts w:ascii="Arial Narrow" w:hAnsi="Arial Narrow"/>
                <w:b/>
                <w:sz w:val="20"/>
                <w:szCs w:val="20"/>
                <w:vertAlign w:val="subscript"/>
              </w:rPr>
              <w:t>ET</w:t>
            </w:r>
            <w:r w:rsidRPr="00B64069">
              <w:rPr>
                <w:rFonts w:ascii="Arial Narrow" w:hAnsi="Arial Narrow"/>
                <w:b/>
                <w:sz w:val="20"/>
                <w:szCs w:val="20"/>
              </w:rPr>
              <w:t xml:space="preserve"> = $</w:t>
            </w:r>
            <w:r w:rsidR="00947C61" w:rsidRPr="00B64069">
              <w:rPr>
                <w:rFonts w:ascii="Arial Narrow" w:hAnsi="Arial Narrow"/>
                <w:b/>
                <w:sz w:val="20"/>
                <w:szCs w:val="20"/>
              </w:rPr>
              <w:t>123</w:t>
            </w:r>
            <w:r w:rsidR="00B64069" w:rsidRPr="00B64069">
              <w:rPr>
                <w:rFonts w:ascii="Arial Narrow" w:hAnsi="Arial Narrow"/>
                <w:b/>
                <w:sz w:val="20"/>
                <w:szCs w:val="20"/>
              </w:rPr>
              <w:t>.</w:t>
            </w:r>
            <w:r w:rsidR="00947C61" w:rsidRPr="00B64069">
              <w:rPr>
                <w:rFonts w:ascii="Arial Narrow" w:hAnsi="Arial Narrow"/>
                <w:b/>
                <w:sz w:val="20"/>
                <w:szCs w:val="20"/>
              </w:rPr>
              <w:t>853</w:t>
            </w:r>
            <w:r w:rsidR="00B64069" w:rsidRPr="00B64069">
              <w:rPr>
                <w:rFonts w:ascii="Arial Narrow" w:hAnsi="Arial Narrow"/>
                <w:b/>
                <w:sz w:val="20"/>
                <w:szCs w:val="20"/>
              </w:rPr>
              <w:t xml:space="preserve"> Mdp</w:t>
            </w:r>
            <w:r w:rsidRPr="00B64069">
              <w:rPr>
                <w:rFonts w:ascii="Arial Narrow" w:hAnsi="Arial Narrow"/>
                <w:sz w:val="20"/>
                <w:szCs w:val="20"/>
              </w:rPr>
              <w:t xml:space="preserve">. A </w:t>
            </w:r>
            <w:r w:rsidR="00B64069" w:rsidRPr="00B64069">
              <w:rPr>
                <w:rFonts w:ascii="Arial Narrow" w:hAnsi="Arial Narrow"/>
                <w:sz w:val="20"/>
                <w:szCs w:val="20"/>
              </w:rPr>
              <w:t>continuación, se desglosa</w:t>
            </w:r>
            <w:r w:rsidRPr="00B64069">
              <w:rPr>
                <w:rFonts w:ascii="Arial Narrow" w:hAnsi="Arial Narrow"/>
                <w:sz w:val="20"/>
                <w:szCs w:val="20"/>
              </w:rPr>
              <w:t xml:space="preserve"> dicho</w:t>
            </w:r>
            <w:r w:rsidR="00947C61" w:rsidRPr="00B64069">
              <w:rPr>
                <w:rFonts w:ascii="Arial Narrow" w:hAnsi="Arial Narrow"/>
                <w:sz w:val="20"/>
                <w:szCs w:val="20"/>
              </w:rPr>
              <w:t xml:space="preserve"> costo</w:t>
            </w:r>
            <w:r w:rsidRPr="00B64069">
              <w:rPr>
                <w:rFonts w:ascii="Arial Narrow" w:hAnsi="Arial Narrow"/>
                <w:sz w:val="20"/>
                <w:szCs w:val="20"/>
              </w:rPr>
              <w:t>:</w:t>
            </w:r>
          </w:p>
          <w:p w:rsidR="0061261B" w:rsidRPr="00B64069" w:rsidRDefault="0061261B" w:rsidP="00947C61">
            <w:pPr>
              <w:pStyle w:val="Prrafodelista"/>
              <w:keepNext/>
              <w:ind w:right="179"/>
              <w:jc w:val="both"/>
              <w:rPr>
                <w:rFonts w:ascii="Arial Narrow" w:hAnsi="Arial Narrow" w:cs="Arial"/>
                <w:sz w:val="20"/>
                <w:szCs w:val="20"/>
              </w:rPr>
            </w:pPr>
          </w:p>
          <w:tbl>
            <w:tblPr>
              <w:tblStyle w:val="Tablaconcuadrcula1"/>
              <w:tblW w:w="9145" w:type="dxa"/>
              <w:jc w:val="center"/>
              <w:tblLook w:val="04A0" w:firstRow="1" w:lastRow="0" w:firstColumn="1" w:lastColumn="0" w:noHBand="0" w:noVBand="1"/>
            </w:tblPr>
            <w:tblGrid>
              <w:gridCol w:w="2561"/>
              <w:gridCol w:w="2091"/>
              <w:gridCol w:w="2163"/>
              <w:gridCol w:w="2330"/>
            </w:tblGrid>
            <w:tr w:rsidR="00B64069" w:rsidRPr="00B64069" w:rsidTr="00917AF2">
              <w:trPr>
                <w:trHeight w:val="173"/>
                <w:jc w:val="center"/>
              </w:trPr>
              <w:tc>
                <w:tcPr>
                  <w:tcW w:w="2561" w:type="dxa"/>
                  <w:tcBorders>
                    <w:top w:val="single" w:sz="12" w:space="0" w:color="auto"/>
                    <w:left w:val="single" w:sz="12" w:space="0" w:color="auto"/>
                    <w:right w:val="single" w:sz="12" w:space="0" w:color="auto"/>
                  </w:tcBorders>
                  <w:shd w:val="clear" w:color="auto" w:fill="auto"/>
                  <w:vAlign w:val="center"/>
                </w:tcPr>
                <w:p w:rsidR="0061261B" w:rsidRPr="00B64069" w:rsidRDefault="0061261B" w:rsidP="0061261B">
                  <w:pPr>
                    <w:autoSpaceDE w:val="0"/>
                    <w:autoSpaceDN w:val="0"/>
                    <w:adjustRightInd w:val="0"/>
                    <w:jc w:val="center"/>
                    <w:rPr>
                      <w:rFonts w:ascii="Arial Narrow" w:hAnsi="Arial Narrow"/>
                      <w:b/>
                      <w:bCs/>
                      <w:sz w:val="20"/>
                      <w:szCs w:val="20"/>
                    </w:rPr>
                  </w:pPr>
                  <w:r w:rsidRPr="00B64069">
                    <w:rPr>
                      <w:rFonts w:ascii="Arial Narrow" w:hAnsi="Arial Narrow"/>
                      <w:b/>
                      <w:bCs/>
                      <w:sz w:val="20"/>
                      <w:szCs w:val="20"/>
                    </w:rPr>
                    <w:t>Especificación Técnica</w:t>
                  </w:r>
                </w:p>
              </w:tc>
              <w:tc>
                <w:tcPr>
                  <w:tcW w:w="2091" w:type="dxa"/>
                  <w:tcBorders>
                    <w:top w:val="single" w:sz="12" w:space="0" w:color="auto"/>
                    <w:left w:val="single" w:sz="12" w:space="0" w:color="auto"/>
                    <w:right w:val="single" w:sz="12" w:space="0" w:color="auto"/>
                  </w:tcBorders>
                  <w:shd w:val="clear" w:color="auto" w:fill="auto"/>
                  <w:vAlign w:val="center"/>
                </w:tcPr>
                <w:p w:rsidR="0061261B" w:rsidRPr="00B64069" w:rsidRDefault="0061261B" w:rsidP="0061261B">
                  <w:pPr>
                    <w:autoSpaceDE w:val="0"/>
                    <w:autoSpaceDN w:val="0"/>
                    <w:adjustRightInd w:val="0"/>
                    <w:jc w:val="center"/>
                    <w:rPr>
                      <w:rFonts w:ascii="Arial Narrow" w:hAnsi="Arial Narrow"/>
                      <w:b/>
                      <w:bCs/>
                      <w:sz w:val="20"/>
                      <w:szCs w:val="20"/>
                    </w:rPr>
                  </w:pPr>
                  <w:r w:rsidRPr="00B64069">
                    <w:rPr>
                      <w:rFonts w:ascii="Arial Narrow" w:hAnsi="Arial Narrow"/>
                      <w:b/>
                      <w:bCs/>
                      <w:sz w:val="20"/>
                      <w:szCs w:val="20"/>
                    </w:rPr>
                    <w:t>Número de proveedores aprobados</w:t>
                  </w:r>
                </w:p>
              </w:tc>
              <w:tc>
                <w:tcPr>
                  <w:tcW w:w="2163" w:type="dxa"/>
                  <w:tcBorders>
                    <w:top w:val="single" w:sz="12" w:space="0" w:color="auto"/>
                    <w:left w:val="single" w:sz="12" w:space="0" w:color="auto"/>
                    <w:right w:val="single" w:sz="12" w:space="0" w:color="auto"/>
                  </w:tcBorders>
                  <w:shd w:val="clear" w:color="auto" w:fill="auto"/>
                  <w:vAlign w:val="center"/>
                </w:tcPr>
                <w:p w:rsidR="0061261B" w:rsidRPr="00B64069" w:rsidRDefault="0061261B" w:rsidP="0061261B">
                  <w:pPr>
                    <w:autoSpaceDE w:val="0"/>
                    <w:autoSpaceDN w:val="0"/>
                    <w:adjustRightInd w:val="0"/>
                    <w:jc w:val="center"/>
                    <w:rPr>
                      <w:rFonts w:ascii="Arial Narrow" w:hAnsi="Arial Narrow"/>
                      <w:b/>
                      <w:bCs/>
                      <w:sz w:val="20"/>
                      <w:szCs w:val="20"/>
                    </w:rPr>
                  </w:pPr>
                  <w:r w:rsidRPr="00B64069">
                    <w:rPr>
                      <w:rFonts w:ascii="Arial Narrow" w:hAnsi="Arial Narrow"/>
                      <w:b/>
                      <w:bCs/>
                      <w:sz w:val="20"/>
                      <w:szCs w:val="20"/>
                    </w:rPr>
                    <w:t>Costo Unitario</w:t>
                  </w:r>
                </w:p>
              </w:tc>
              <w:tc>
                <w:tcPr>
                  <w:tcW w:w="2330" w:type="dxa"/>
                  <w:tcBorders>
                    <w:top w:val="single" w:sz="12" w:space="0" w:color="auto"/>
                    <w:left w:val="single" w:sz="12" w:space="0" w:color="auto"/>
                    <w:right w:val="single" w:sz="12" w:space="0" w:color="auto"/>
                  </w:tcBorders>
                  <w:shd w:val="clear" w:color="auto" w:fill="auto"/>
                  <w:vAlign w:val="center"/>
                </w:tcPr>
                <w:p w:rsidR="0061261B" w:rsidRPr="00B64069" w:rsidRDefault="0061261B" w:rsidP="0061261B">
                  <w:pPr>
                    <w:autoSpaceDE w:val="0"/>
                    <w:autoSpaceDN w:val="0"/>
                    <w:adjustRightInd w:val="0"/>
                    <w:jc w:val="center"/>
                    <w:rPr>
                      <w:rFonts w:ascii="Arial Narrow" w:hAnsi="Arial Narrow"/>
                      <w:b/>
                      <w:bCs/>
                      <w:sz w:val="20"/>
                      <w:szCs w:val="20"/>
                    </w:rPr>
                  </w:pPr>
                  <w:r w:rsidRPr="00B64069">
                    <w:rPr>
                      <w:rFonts w:ascii="Arial Narrow" w:hAnsi="Arial Narrow"/>
                      <w:b/>
                      <w:bCs/>
                      <w:sz w:val="20"/>
                      <w:szCs w:val="20"/>
                    </w:rPr>
                    <w:t xml:space="preserve">Costo Total Agregado </w:t>
                  </w:r>
                </w:p>
                <w:p w:rsidR="0061261B" w:rsidRPr="00B64069" w:rsidRDefault="00947C61" w:rsidP="0061261B">
                  <w:pPr>
                    <w:autoSpaceDE w:val="0"/>
                    <w:autoSpaceDN w:val="0"/>
                    <w:adjustRightInd w:val="0"/>
                    <w:jc w:val="center"/>
                    <w:rPr>
                      <w:rFonts w:ascii="Arial Narrow" w:hAnsi="Arial Narrow"/>
                      <w:b/>
                      <w:bCs/>
                      <w:sz w:val="20"/>
                      <w:szCs w:val="20"/>
                    </w:rPr>
                  </w:pPr>
                  <w:r w:rsidRPr="00B64069">
                    <w:rPr>
                      <w:rFonts w:ascii="Arial Narrow" w:hAnsi="Arial Narrow"/>
                      <w:sz w:val="20"/>
                      <w:szCs w:val="20"/>
                    </w:rPr>
                    <w:t>C</w:t>
                  </w:r>
                  <w:r w:rsidRPr="00B64069">
                    <w:rPr>
                      <w:rFonts w:ascii="Arial Narrow" w:hAnsi="Arial Narrow"/>
                      <w:sz w:val="20"/>
                      <w:szCs w:val="20"/>
                      <w:vertAlign w:val="subscript"/>
                    </w:rPr>
                    <w:t>NOM-001</w:t>
                  </w:r>
                </w:p>
              </w:tc>
            </w:tr>
            <w:tr w:rsidR="00B64069" w:rsidRPr="00B64069" w:rsidTr="00917AF2">
              <w:trPr>
                <w:trHeight w:val="173"/>
                <w:jc w:val="center"/>
              </w:trPr>
              <w:tc>
                <w:tcPr>
                  <w:tcW w:w="2561" w:type="dxa"/>
                  <w:tcBorders>
                    <w:left w:val="single" w:sz="12" w:space="0" w:color="auto"/>
                    <w:right w:val="single" w:sz="12" w:space="0" w:color="auto"/>
                  </w:tcBorders>
                  <w:vAlign w:val="center"/>
                </w:tcPr>
                <w:p w:rsidR="0061261B" w:rsidRPr="00B64069" w:rsidRDefault="0061261B" w:rsidP="0061261B">
                  <w:pPr>
                    <w:autoSpaceDE w:val="0"/>
                    <w:autoSpaceDN w:val="0"/>
                    <w:adjustRightInd w:val="0"/>
                    <w:jc w:val="center"/>
                    <w:rPr>
                      <w:rFonts w:ascii="Arial Narrow" w:hAnsi="Arial Narrow"/>
                      <w:sz w:val="20"/>
                      <w:szCs w:val="20"/>
                    </w:rPr>
                  </w:pPr>
                  <w:r w:rsidRPr="00B64069">
                    <w:rPr>
                      <w:rFonts w:ascii="Arial Narrow" w:hAnsi="Arial Narrow"/>
                      <w:sz w:val="20"/>
                      <w:szCs w:val="20"/>
                    </w:rPr>
                    <w:t>CFE G0000-48</w:t>
                  </w:r>
                </w:p>
              </w:tc>
              <w:tc>
                <w:tcPr>
                  <w:tcW w:w="2091" w:type="dxa"/>
                  <w:tcBorders>
                    <w:left w:val="single" w:sz="12" w:space="0" w:color="auto"/>
                    <w:right w:val="single" w:sz="12" w:space="0" w:color="auto"/>
                  </w:tcBorders>
                  <w:vAlign w:val="center"/>
                </w:tcPr>
                <w:p w:rsidR="0061261B" w:rsidRPr="00B64069" w:rsidRDefault="0061261B" w:rsidP="0061261B">
                  <w:pPr>
                    <w:autoSpaceDE w:val="0"/>
                    <w:autoSpaceDN w:val="0"/>
                    <w:adjustRightInd w:val="0"/>
                    <w:jc w:val="center"/>
                    <w:rPr>
                      <w:rFonts w:ascii="Arial Narrow" w:hAnsi="Arial Narrow"/>
                      <w:sz w:val="20"/>
                      <w:szCs w:val="20"/>
                    </w:rPr>
                  </w:pPr>
                  <w:r w:rsidRPr="00B64069">
                    <w:rPr>
                      <w:rFonts w:ascii="Arial Narrow" w:hAnsi="Arial Narrow"/>
                      <w:sz w:val="20"/>
                      <w:szCs w:val="20"/>
                    </w:rPr>
                    <w:t>6</w:t>
                  </w:r>
                </w:p>
              </w:tc>
              <w:tc>
                <w:tcPr>
                  <w:tcW w:w="2163" w:type="dxa"/>
                  <w:tcBorders>
                    <w:left w:val="single" w:sz="12" w:space="0" w:color="auto"/>
                    <w:right w:val="single" w:sz="12" w:space="0" w:color="auto"/>
                  </w:tcBorders>
                  <w:vAlign w:val="center"/>
                </w:tcPr>
                <w:p w:rsidR="0061261B" w:rsidRPr="00B64069" w:rsidRDefault="0061261B" w:rsidP="0061261B">
                  <w:pPr>
                    <w:autoSpaceDE w:val="0"/>
                    <w:autoSpaceDN w:val="0"/>
                    <w:adjustRightInd w:val="0"/>
                    <w:jc w:val="right"/>
                    <w:rPr>
                      <w:rFonts w:ascii="Arial Narrow" w:hAnsi="Arial Narrow"/>
                      <w:sz w:val="20"/>
                      <w:szCs w:val="20"/>
                    </w:rPr>
                  </w:pPr>
                  <w:r w:rsidRPr="00B64069">
                    <w:rPr>
                      <w:rFonts w:ascii="Arial Narrow" w:hAnsi="Arial Narrow"/>
                      <w:sz w:val="20"/>
                      <w:szCs w:val="20"/>
                    </w:rPr>
                    <w:t>$11,419,815.96</w:t>
                  </w:r>
                </w:p>
              </w:tc>
              <w:tc>
                <w:tcPr>
                  <w:tcW w:w="2330" w:type="dxa"/>
                  <w:tcBorders>
                    <w:left w:val="single" w:sz="12" w:space="0" w:color="auto"/>
                    <w:right w:val="single" w:sz="12" w:space="0" w:color="auto"/>
                  </w:tcBorders>
                  <w:vAlign w:val="center"/>
                </w:tcPr>
                <w:p w:rsidR="0061261B" w:rsidRPr="00B64069" w:rsidRDefault="0061261B" w:rsidP="009B488B">
                  <w:pPr>
                    <w:autoSpaceDE w:val="0"/>
                    <w:autoSpaceDN w:val="0"/>
                    <w:adjustRightInd w:val="0"/>
                    <w:jc w:val="right"/>
                    <w:rPr>
                      <w:rFonts w:ascii="Arial Narrow" w:hAnsi="Arial Narrow"/>
                      <w:sz w:val="20"/>
                      <w:szCs w:val="20"/>
                    </w:rPr>
                  </w:pPr>
                  <w:r w:rsidRPr="00B64069">
                    <w:rPr>
                      <w:rFonts w:ascii="Arial Narrow" w:hAnsi="Arial Narrow"/>
                      <w:sz w:val="20"/>
                      <w:szCs w:val="20"/>
                    </w:rPr>
                    <w:t>$68,518,895.</w:t>
                  </w:r>
                  <w:r w:rsidR="009B488B" w:rsidRPr="00B64069">
                    <w:rPr>
                      <w:rFonts w:ascii="Arial Narrow" w:hAnsi="Arial Narrow"/>
                      <w:sz w:val="20"/>
                      <w:szCs w:val="20"/>
                    </w:rPr>
                    <w:t>76</w:t>
                  </w:r>
                </w:p>
              </w:tc>
            </w:tr>
            <w:tr w:rsidR="00B64069" w:rsidRPr="00B64069" w:rsidTr="00917AF2">
              <w:trPr>
                <w:trHeight w:val="173"/>
                <w:jc w:val="center"/>
              </w:trPr>
              <w:tc>
                <w:tcPr>
                  <w:tcW w:w="2561" w:type="dxa"/>
                  <w:tcBorders>
                    <w:left w:val="single" w:sz="12" w:space="0" w:color="auto"/>
                    <w:right w:val="single" w:sz="12" w:space="0" w:color="auto"/>
                  </w:tcBorders>
                  <w:vAlign w:val="center"/>
                </w:tcPr>
                <w:p w:rsidR="0061261B" w:rsidRPr="00B64069" w:rsidRDefault="0061261B" w:rsidP="0061261B">
                  <w:pPr>
                    <w:autoSpaceDE w:val="0"/>
                    <w:autoSpaceDN w:val="0"/>
                    <w:adjustRightInd w:val="0"/>
                    <w:jc w:val="center"/>
                    <w:rPr>
                      <w:rFonts w:ascii="Arial Narrow" w:hAnsi="Arial Narrow"/>
                      <w:sz w:val="20"/>
                      <w:szCs w:val="20"/>
                    </w:rPr>
                  </w:pPr>
                  <w:r w:rsidRPr="00B64069">
                    <w:rPr>
                      <w:rFonts w:ascii="Arial Narrow" w:hAnsi="Arial Narrow"/>
                      <w:sz w:val="20"/>
                      <w:szCs w:val="20"/>
                    </w:rPr>
                    <w:t>CFE VE100-13</w:t>
                  </w:r>
                </w:p>
              </w:tc>
              <w:tc>
                <w:tcPr>
                  <w:tcW w:w="2091" w:type="dxa"/>
                  <w:tcBorders>
                    <w:left w:val="single" w:sz="12" w:space="0" w:color="auto"/>
                    <w:right w:val="single" w:sz="12" w:space="0" w:color="auto"/>
                  </w:tcBorders>
                  <w:vAlign w:val="center"/>
                </w:tcPr>
                <w:p w:rsidR="0061261B" w:rsidRPr="00B64069" w:rsidRDefault="0061261B" w:rsidP="0061261B">
                  <w:pPr>
                    <w:autoSpaceDE w:val="0"/>
                    <w:autoSpaceDN w:val="0"/>
                    <w:adjustRightInd w:val="0"/>
                    <w:jc w:val="center"/>
                    <w:rPr>
                      <w:rFonts w:ascii="Arial Narrow" w:hAnsi="Arial Narrow"/>
                      <w:sz w:val="20"/>
                      <w:szCs w:val="20"/>
                    </w:rPr>
                  </w:pPr>
                  <w:r w:rsidRPr="00B64069">
                    <w:rPr>
                      <w:rFonts w:ascii="Arial Narrow" w:hAnsi="Arial Narrow"/>
                      <w:sz w:val="20"/>
                      <w:szCs w:val="20"/>
                    </w:rPr>
                    <w:t>7</w:t>
                  </w:r>
                </w:p>
              </w:tc>
              <w:tc>
                <w:tcPr>
                  <w:tcW w:w="2163" w:type="dxa"/>
                  <w:tcBorders>
                    <w:left w:val="single" w:sz="12" w:space="0" w:color="auto"/>
                    <w:right w:val="single" w:sz="12" w:space="0" w:color="auto"/>
                  </w:tcBorders>
                  <w:vAlign w:val="center"/>
                </w:tcPr>
                <w:p w:rsidR="0061261B" w:rsidRPr="00B64069" w:rsidRDefault="0061261B" w:rsidP="0061261B">
                  <w:pPr>
                    <w:autoSpaceDE w:val="0"/>
                    <w:autoSpaceDN w:val="0"/>
                    <w:adjustRightInd w:val="0"/>
                    <w:jc w:val="right"/>
                    <w:rPr>
                      <w:rFonts w:ascii="Arial Narrow" w:hAnsi="Arial Narrow"/>
                      <w:sz w:val="20"/>
                      <w:szCs w:val="20"/>
                    </w:rPr>
                  </w:pPr>
                  <w:r w:rsidRPr="00B64069">
                    <w:rPr>
                      <w:rFonts w:ascii="Arial Narrow" w:hAnsi="Arial Narrow"/>
                      <w:sz w:val="20"/>
                      <w:szCs w:val="20"/>
                    </w:rPr>
                    <w:t>$3,620,880.00</w:t>
                  </w:r>
                </w:p>
              </w:tc>
              <w:tc>
                <w:tcPr>
                  <w:tcW w:w="2330" w:type="dxa"/>
                  <w:tcBorders>
                    <w:left w:val="single" w:sz="12" w:space="0" w:color="auto"/>
                    <w:right w:val="single" w:sz="12" w:space="0" w:color="auto"/>
                  </w:tcBorders>
                  <w:vAlign w:val="center"/>
                </w:tcPr>
                <w:p w:rsidR="0061261B" w:rsidRPr="00B64069" w:rsidRDefault="0061261B" w:rsidP="0061261B">
                  <w:pPr>
                    <w:autoSpaceDE w:val="0"/>
                    <w:autoSpaceDN w:val="0"/>
                    <w:adjustRightInd w:val="0"/>
                    <w:jc w:val="right"/>
                    <w:rPr>
                      <w:rFonts w:ascii="Arial Narrow" w:hAnsi="Arial Narrow"/>
                      <w:sz w:val="20"/>
                      <w:szCs w:val="20"/>
                    </w:rPr>
                  </w:pPr>
                  <w:r w:rsidRPr="00B64069">
                    <w:rPr>
                      <w:rFonts w:ascii="Arial Narrow" w:hAnsi="Arial Narrow"/>
                      <w:sz w:val="20"/>
                      <w:szCs w:val="20"/>
                    </w:rPr>
                    <w:t>$25,346,160.0</w:t>
                  </w:r>
                  <w:r w:rsidR="009B488B" w:rsidRPr="00B64069">
                    <w:rPr>
                      <w:rFonts w:ascii="Arial Narrow" w:hAnsi="Arial Narrow"/>
                      <w:sz w:val="20"/>
                      <w:szCs w:val="20"/>
                    </w:rPr>
                    <w:t>0</w:t>
                  </w:r>
                </w:p>
              </w:tc>
            </w:tr>
            <w:tr w:rsidR="00B64069" w:rsidRPr="00B64069" w:rsidTr="00917AF2">
              <w:trPr>
                <w:trHeight w:val="173"/>
                <w:jc w:val="center"/>
              </w:trPr>
              <w:tc>
                <w:tcPr>
                  <w:tcW w:w="2561" w:type="dxa"/>
                  <w:tcBorders>
                    <w:left w:val="single" w:sz="12" w:space="0" w:color="auto"/>
                    <w:right w:val="single" w:sz="12" w:space="0" w:color="auto"/>
                  </w:tcBorders>
                  <w:vAlign w:val="center"/>
                </w:tcPr>
                <w:p w:rsidR="0061261B" w:rsidRPr="00B64069" w:rsidRDefault="0061261B" w:rsidP="0061261B">
                  <w:pPr>
                    <w:autoSpaceDE w:val="0"/>
                    <w:autoSpaceDN w:val="0"/>
                    <w:adjustRightInd w:val="0"/>
                    <w:jc w:val="center"/>
                    <w:rPr>
                      <w:rFonts w:ascii="Arial Narrow" w:hAnsi="Arial Narrow"/>
                      <w:sz w:val="20"/>
                      <w:szCs w:val="20"/>
                    </w:rPr>
                  </w:pPr>
                  <w:r w:rsidRPr="00B64069">
                    <w:rPr>
                      <w:rFonts w:ascii="Arial Narrow" w:hAnsi="Arial Narrow"/>
                      <w:sz w:val="20"/>
                      <w:szCs w:val="20"/>
                    </w:rPr>
                    <w:t>CFE VE100-29</w:t>
                  </w:r>
                </w:p>
              </w:tc>
              <w:tc>
                <w:tcPr>
                  <w:tcW w:w="2091" w:type="dxa"/>
                  <w:tcBorders>
                    <w:left w:val="single" w:sz="12" w:space="0" w:color="auto"/>
                    <w:right w:val="single" w:sz="12" w:space="0" w:color="auto"/>
                  </w:tcBorders>
                  <w:vAlign w:val="center"/>
                </w:tcPr>
                <w:p w:rsidR="0061261B" w:rsidRPr="00B64069" w:rsidRDefault="0061261B" w:rsidP="0061261B">
                  <w:pPr>
                    <w:autoSpaceDE w:val="0"/>
                    <w:autoSpaceDN w:val="0"/>
                    <w:adjustRightInd w:val="0"/>
                    <w:jc w:val="center"/>
                    <w:rPr>
                      <w:rFonts w:ascii="Arial Narrow" w:hAnsi="Arial Narrow"/>
                      <w:sz w:val="20"/>
                      <w:szCs w:val="20"/>
                    </w:rPr>
                  </w:pPr>
                  <w:r w:rsidRPr="00B64069">
                    <w:rPr>
                      <w:rFonts w:ascii="Arial Narrow" w:hAnsi="Arial Narrow"/>
                      <w:sz w:val="20"/>
                      <w:szCs w:val="20"/>
                    </w:rPr>
                    <w:t>5</w:t>
                  </w:r>
                </w:p>
              </w:tc>
              <w:tc>
                <w:tcPr>
                  <w:tcW w:w="2163" w:type="dxa"/>
                  <w:tcBorders>
                    <w:left w:val="single" w:sz="12" w:space="0" w:color="auto"/>
                    <w:right w:val="single" w:sz="12" w:space="0" w:color="auto"/>
                  </w:tcBorders>
                  <w:vAlign w:val="center"/>
                </w:tcPr>
                <w:p w:rsidR="0061261B" w:rsidRPr="00B64069" w:rsidRDefault="0061261B" w:rsidP="0061261B">
                  <w:pPr>
                    <w:autoSpaceDE w:val="0"/>
                    <w:autoSpaceDN w:val="0"/>
                    <w:adjustRightInd w:val="0"/>
                    <w:jc w:val="right"/>
                    <w:rPr>
                      <w:rFonts w:ascii="Arial Narrow" w:hAnsi="Arial Narrow"/>
                      <w:sz w:val="20"/>
                      <w:szCs w:val="20"/>
                    </w:rPr>
                  </w:pPr>
                  <w:r w:rsidRPr="00B64069">
                    <w:rPr>
                      <w:rFonts w:ascii="Arial Narrow" w:hAnsi="Arial Narrow"/>
                      <w:sz w:val="20"/>
                      <w:szCs w:val="20"/>
                    </w:rPr>
                    <w:t>$4,604,080.00</w:t>
                  </w:r>
                </w:p>
              </w:tc>
              <w:tc>
                <w:tcPr>
                  <w:tcW w:w="2330" w:type="dxa"/>
                  <w:tcBorders>
                    <w:left w:val="single" w:sz="12" w:space="0" w:color="auto"/>
                    <w:right w:val="single" w:sz="12" w:space="0" w:color="auto"/>
                  </w:tcBorders>
                  <w:vAlign w:val="center"/>
                </w:tcPr>
                <w:p w:rsidR="0061261B" w:rsidRPr="00B64069" w:rsidRDefault="0061261B" w:rsidP="0061261B">
                  <w:pPr>
                    <w:autoSpaceDE w:val="0"/>
                    <w:autoSpaceDN w:val="0"/>
                    <w:adjustRightInd w:val="0"/>
                    <w:jc w:val="right"/>
                    <w:rPr>
                      <w:rFonts w:ascii="Arial Narrow" w:hAnsi="Arial Narrow"/>
                      <w:sz w:val="20"/>
                      <w:szCs w:val="20"/>
                    </w:rPr>
                  </w:pPr>
                  <w:r w:rsidRPr="00B64069">
                    <w:rPr>
                      <w:rFonts w:ascii="Arial Narrow" w:hAnsi="Arial Narrow"/>
                      <w:sz w:val="20"/>
                      <w:szCs w:val="20"/>
                    </w:rPr>
                    <w:t>$23,020,400.0</w:t>
                  </w:r>
                  <w:r w:rsidR="009B488B" w:rsidRPr="00B64069">
                    <w:rPr>
                      <w:rFonts w:ascii="Arial Narrow" w:hAnsi="Arial Narrow"/>
                      <w:sz w:val="20"/>
                      <w:szCs w:val="20"/>
                    </w:rPr>
                    <w:t>0</w:t>
                  </w:r>
                </w:p>
              </w:tc>
            </w:tr>
            <w:tr w:rsidR="00B64069" w:rsidRPr="00B64069" w:rsidTr="00917AF2">
              <w:trPr>
                <w:trHeight w:val="173"/>
                <w:jc w:val="center"/>
              </w:trPr>
              <w:tc>
                <w:tcPr>
                  <w:tcW w:w="2561" w:type="dxa"/>
                  <w:tcBorders>
                    <w:left w:val="single" w:sz="12" w:space="0" w:color="auto"/>
                    <w:bottom w:val="single" w:sz="12" w:space="0" w:color="auto"/>
                    <w:right w:val="single" w:sz="12" w:space="0" w:color="auto"/>
                  </w:tcBorders>
                  <w:vAlign w:val="center"/>
                </w:tcPr>
                <w:p w:rsidR="0061261B" w:rsidRPr="00B64069" w:rsidRDefault="0061261B" w:rsidP="0061261B">
                  <w:pPr>
                    <w:autoSpaceDE w:val="0"/>
                    <w:autoSpaceDN w:val="0"/>
                    <w:adjustRightInd w:val="0"/>
                    <w:jc w:val="center"/>
                    <w:rPr>
                      <w:rFonts w:ascii="Arial Narrow" w:hAnsi="Arial Narrow"/>
                      <w:sz w:val="20"/>
                      <w:szCs w:val="20"/>
                    </w:rPr>
                  </w:pPr>
                  <w:r w:rsidRPr="00B64069">
                    <w:rPr>
                      <w:rFonts w:ascii="Arial Narrow" w:hAnsi="Arial Narrow"/>
                      <w:sz w:val="20"/>
                      <w:szCs w:val="20"/>
                    </w:rPr>
                    <w:t>CFE VE000-38</w:t>
                  </w:r>
                </w:p>
              </w:tc>
              <w:tc>
                <w:tcPr>
                  <w:tcW w:w="2091" w:type="dxa"/>
                  <w:tcBorders>
                    <w:left w:val="single" w:sz="12" w:space="0" w:color="auto"/>
                    <w:bottom w:val="single" w:sz="12" w:space="0" w:color="auto"/>
                    <w:right w:val="single" w:sz="12" w:space="0" w:color="auto"/>
                  </w:tcBorders>
                  <w:vAlign w:val="center"/>
                </w:tcPr>
                <w:p w:rsidR="0061261B" w:rsidRPr="00B64069" w:rsidRDefault="0061261B" w:rsidP="0061261B">
                  <w:pPr>
                    <w:autoSpaceDE w:val="0"/>
                    <w:autoSpaceDN w:val="0"/>
                    <w:adjustRightInd w:val="0"/>
                    <w:jc w:val="center"/>
                    <w:rPr>
                      <w:rFonts w:ascii="Arial Narrow" w:hAnsi="Arial Narrow"/>
                      <w:sz w:val="20"/>
                      <w:szCs w:val="20"/>
                    </w:rPr>
                  </w:pPr>
                  <w:r w:rsidRPr="00B64069">
                    <w:rPr>
                      <w:rFonts w:ascii="Arial Narrow" w:hAnsi="Arial Narrow"/>
                      <w:sz w:val="20"/>
                      <w:szCs w:val="20"/>
                    </w:rPr>
                    <w:t>2</w:t>
                  </w:r>
                </w:p>
              </w:tc>
              <w:tc>
                <w:tcPr>
                  <w:tcW w:w="2163" w:type="dxa"/>
                  <w:tcBorders>
                    <w:left w:val="single" w:sz="12" w:space="0" w:color="auto"/>
                    <w:bottom w:val="single" w:sz="4" w:space="0" w:color="auto"/>
                    <w:right w:val="single" w:sz="12" w:space="0" w:color="auto"/>
                  </w:tcBorders>
                  <w:vAlign w:val="center"/>
                </w:tcPr>
                <w:p w:rsidR="0061261B" w:rsidRPr="00B64069" w:rsidRDefault="0061261B" w:rsidP="0061261B">
                  <w:pPr>
                    <w:autoSpaceDE w:val="0"/>
                    <w:autoSpaceDN w:val="0"/>
                    <w:adjustRightInd w:val="0"/>
                    <w:jc w:val="right"/>
                    <w:rPr>
                      <w:rFonts w:ascii="Arial Narrow" w:hAnsi="Arial Narrow"/>
                      <w:sz w:val="20"/>
                      <w:szCs w:val="20"/>
                    </w:rPr>
                  </w:pPr>
                  <w:r w:rsidRPr="00B64069">
                    <w:rPr>
                      <w:rFonts w:ascii="Arial Narrow" w:hAnsi="Arial Narrow"/>
                      <w:sz w:val="20"/>
                      <w:szCs w:val="20"/>
                    </w:rPr>
                    <w:t>$3,484,260.00</w:t>
                  </w:r>
                </w:p>
              </w:tc>
              <w:tc>
                <w:tcPr>
                  <w:tcW w:w="2330" w:type="dxa"/>
                  <w:tcBorders>
                    <w:left w:val="single" w:sz="12" w:space="0" w:color="auto"/>
                    <w:right w:val="single" w:sz="12" w:space="0" w:color="auto"/>
                  </w:tcBorders>
                  <w:vAlign w:val="center"/>
                </w:tcPr>
                <w:p w:rsidR="0061261B" w:rsidRPr="00B64069" w:rsidRDefault="00947C61" w:rsidP="0061261B">
                  <w:pPr>
                    <w:autoSpaceDE w:val="0"/>
                    <w:autoSpaceDN w:val="0"/>
                    <w:adjustRightInd w:val="0"/>
                    <w:jc w:val="right"/>
                    <w:rPr>
                      <w:rFonts w:ascii="Arial Narrow" w:hAnsi="Arial Narrow"/>
                      <w:sz w:val="20"/>
                      <w:szCs w:val="20"/>
                    </w:rPr>
                  </w:pPr>
                  <w:r w:rsidRPr="00B64069">
                    <w:rPr>
                      <w:rFonts w:ascii="Arial Narrow" w:hAnsi="Arial Narrow"/>
                      <w:sz w:val="20"/>
                      <w:szCs w:val="20"/>
                    </w:rPr>
                    <w:t>$6,968,520</w:t>
                  </w:r>
                  <w:r w:rsidR="009B488B" w:rsidRPr="00B64069">
                    <w:rPr>
                      <w:rFonts w:ascii="Arial Narrow" w:hAnsi="Arial Narrow"/>
                      <w:sz w:val="20"/>
                      <w:szCs w:val="20"/>
                    </w:rPr>
                    <w:t>.00</w:t>
                  </w:r>
                </w:p>
              </w:tc>
            </w:tr>
            <w:tr w:rsidR="00B64069" w:rsidRPr="00B64069" w:rsidTr="00917AF2">
              <w:trPr>
                <w:trHeight w:val="173"/>
                <w:jc w:val="center"/>
              </w:trPr>
              <w:tc>
                <w:tcPr>
                  <w:tcW w:w="914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1261B" w:rsidRPr="00B64069" w:rsidRDefault="0061261B" w:rsidP="00947C61">
                  <w:pPr>
                    <w:autoSpaceDE w:val="0"/>
                    <w:autoSpaceDN w:val="0"/>
                    <w:adjustRightInd w:val="0"/>
                    <w:jc w:val="right"/>
                    <w:rPr>
                      <w:rFonts w:ascii="Arial Narrow" w:hAnsi="Arial Narrow"/>
                      <w:b/>
                      <w:sz w:val="20"/>
                      <w:szCs w:val="20"/>
                    </w:rPr>
                  </w:pPr>
                  <w:r w:rsidRPr="00B64069">
                    <w:rPr>
                      <w:rFonts w:ascii="Arial Narrow" w:hAnsi="Arial Narrow"/>
                      <w:b/>
                      <w:sz w:val="20"/>
                      <w:szCs w:val="20"/>
                    </w:rPr>
                    <w:t>C</w:t>
                  </w:r>
                  <w:r w:rsidRPr="00B64069">
                    <w:rPr>
                      <w:rFonts w:ascii="Arial Narrow" w:hAnsi="Arial Narrow"/>
                      <w:b/>
                      <w:sz w:val="20"/>
                      <w:szCs w:val="20"/>
                      <w:vertAlign w:val="subscript"/>
                    </w:rPr>
                    <w:t xml:space="preserve">ET </w:t>
                  </w:r>
                  <w:r w:rsidRPr="00B64069">
                    <w:rPr>
                      <w:rFonts w:ascii="Arial Narrow" w:hAnsi="Arial Narrow"/>
                      <w:b/>
                      <w:sz w:val="20"/>
                      <w:szCs w:val="20"/>
                    </w:rPr>
                    <w:t>= $</w:t>
                  </w:r>
                  <w:r w:rsidR="00947C61" w:rsidRPr="00B64069">
                    <w:rPr>
                      <w:rFonts w:ascii="Arial Narrow" w:hAnsi="Arial Narrow"/>
                      <w:b/>
                      <w:sz w:val="20"/>
                      <w:szCs w:val="20"/>
                    </w:rPr>
                    <w:t>123,853,975</w:t>
                  </w:r>
                  <w:r w:rsidR="009B488B" w:rsidRPr="00B64069">
                    <w:rPr>
                      <w:rFonts w:ascii="Arial Narrow" w:hAnsi="Arial Narrow"/>
                      <w:b/>
                      <w:sz w:val="20"/>
                      <w:szCs w:val="20"/>
                    </w:rPr>
                    <w:t>.40</w:t>
                  </w:r>
                  <w:r w:rsidRPr="00B64069">
                    <w:rPr>
                      <w:rFonts w:ascii="Arial Narrow" w:hAnsi="Arial Narrow"/>
                      <w:b/>
                      <w:sz w:val="20"/>
                      <w:szCs w:val="20"/>
                    </w:rPr>
                    <w:t xml:space="preserve"> </w:t>
                  </w:r>
                </w:p>
              </w:tc>
            </w:tr>
          </w:tbl>
          <w:p w:rsidR="0061261B" w:rsidRPr="00B64069" w:rsidRDefault="0061261B" w:rsidP="0061261B">
            <w:pPr>
              <w:keepNext/>
              <w:ind w:right="-93"/>
              <w:rPr>
                <w:rFonts w:ascii="Arial Narrow" w:hAnsi="Arial Narrow"/>
                <w:sz w:val="20"/>
                <w:szCs w:val="20"/>
              </w:rPr>
            </w:pPr>
          </w:p>
          <w:p w:rsidR="0061261B" w:rsidRPr="00B64069" w:rsidRDefault="0061261B" w:rsidP="0061261B">
            <w:pPr>
              <w:pStyle w:val="Prrafodelista"/>
              <w:keepNext/>
              <w:ind w:left="0" w:right="179"/>
              <w:jc w:val="both"/>
              <w:rPr>
                <w:rFonts w:ascii="Arial Narrow" w:hAnsi="Arial Narrow" w:cs="Arial"/>
                <w:sz w:val="20"/>
                <w:szCs w:val="20"/>
              </w:rPr>
            </w:pPr>
            <w:r w:rsidRPr="00B64069">
              <w:rPr>
                <w:rFonts w:ascii="Arial Narrow" w:hAnsi="Arial Narrow" w:cs="Arial"/>
                <w:sz w:val="20"/>
                <w:szCs w:val="20"/>
              </w:rPr>
              <w:t>Los costos generados por la regulación propuesta (C</w:t>
            </w:r>
            <w:r w:rsidRPr="00B64069">
              <w:rPr>
                <w:rFonts w:ascii="Arial Narrow" w:hAnsi="Arial Narrow" w:cs="Arial"/>
                <w:sz w:val="20"/>
                <w:szCs w:val="20"/>
                <w:vertAlign w:val="subscript"/>
              </w:rPr>
              <w:t>NOM-001</w:t>
            </w:r>
            <w:r w:rsidRPr="00B64069">
              <w:rPr>
                <w:rFonts w:ascii="Arial Narrow" w:hAnsi="Arial Narrow" w:cs="Arial"/>
                <w:sz w:val="20"/>
                <w:szCs w:val="20"/>
              </w:rPr>
              <w:t>)</w:t>
            </w:r>
            <w:r w:rsidRPr="00B64069">
              <w:rPr>
                <w:rFonts w:ascii="Arial Narrow" w:hAnsi="Arial Narrow" w:cs="Arial"/>
                <w:sz w:val="20"/>
                <w:szCs w:val="20"/>
                <w:vertAlign w:val="subscript"/>
              </w:rPr>
              <w:t xml:space="preserve"> </w:t>
            </w:r>
            <w:r w:rsidRPr="00B64069">
              <w:rPr>
                <w:rFonts w:ascii="Arial Narrow" w:hAnsi="Arial Narrow" w:cs="Arial"/>
                <w:sz w:val="20"/>
                <w:szCs w:val="20"/>
              </w:rPr>
              <w:t xml:space="preserve">ascienden a </w:t>
            </w:r>
            <w:r w:rsidRPr="00B64069">
              <w:rPr>
                <w:rFonts w:ascii="Arial Narrow" w:hAnsi="Arial Narrow" w:cs="Arial"/>
                <w:b/>
                <w:sz w:val="20"/>
                <w:szCs w:val="20"/>
              </w:rPr>
              <w:t>C</w:t>
            </w:r>
            <w:r w:rsidRPr="00B64069">
              <w:rPr>
                <w:rFonts w:ascii="Arial Narrow" w:hAnsi="Arial Narrow" w:cs="Arial"/>
                <w:b/>
                <w:sz w:val="20"/>
                <w:szCs w:val="20"/>
                <w:vertAlign w:val="subscript"/>
              </w:rPr>
              <w:t xml:space="preserve">NOM-001 </w:t>
            </w:r>
            <w:r w:rsidRPr="00B64069">
              <w:rPr>
                <w:rFonts w:ascii="Arial Narrow" w:hAnsi="Arial Narrow" w:cs="Arial"/>
                <w:b/>
                <w:sz w:val="20"/>
                <w:szCs w:val="20"/>
              </w:rPr>
              <w:t>=</w:t>
            </w:r>
            <w:r w:rsidR="00947C61" w:rsidRPr="00B64069">
              <w:rPr>
                <w:rFonts w:ascii="Arial Narrow" w:hAnsi="Arial Narrow"/>
                <w:sz w:val="20"/>
                <w:szCs w:val="20"/>
              </w:rPr>
              <w:t xml:space="preserve"> </w:t>
            </w:r>
            <w:r w:rsidR="00B64069" w:rsidRPr="00B64069">
              <w:rPr>
                <w:rFonts w:ascii="Arial Narrow" w:hAnsi="Arial Narrow"/>
                <w:b/>
                <w:sz w:val="20"/>
                <w:szCs w:val="20"/>
              </w:rPr>
              <w:t>$</w:t>
            </w:r>
            <w:r w:rsidR="006B5750">
              <w:rPr>
                <w:rFonts w:ascii="Arial Narrow" w:hAnsi="Arial Narrow"/>
                <w:b/>
                <w:sz w:val="20"/>
                <w:szCs w:val="20"/>
              </w:rPr>
              <w:t>63.842</w:t>
            </w:r>
            <w:r w:rsidR="00B64069" w:rsidRPr="00B64069">
              <w:rPr>
                <w:rFonts w:ascii="Arial Narrow" w:hAnsi="Arial Narrow"/>
                <w:b/>
                <w:sz w:val="20"/>
                <w:szCs w:val="20"/>
              </w:rPr>
              <w:t xml:space="preserve"> Mdp</w:t>
            </w:r>
            <w:r w:rsidRPr="00B64069">
              <w:rPr>
                <w:rFonts w:ascii="Arial Narrow" w:hAnsi="Arial Narrow" w:cs="Arial"/>
                <w:b/>
                <w:sz w:val="20"/>
                <w:szCs w:val="20"/>
              </w:rPr>
              <w:t>,</w:t>
            </w:r>
            <w:r w:rsidRPr="00B64069">
              <w:rPr>
                <w:rFonts w:ascii="Arial Narrow" w:hAnsi="Arial Narrow" w:cs="Arial"/>
                <w:sz w:val="20"/>
                <w:szCs w:val="20"/>
              </w:rPr>
              <w:t xml:space="preserve"> y se desglosan en el capítulo 10, sección “COSTOS” del </w:t>
            </w:r>
            <w:r w:rsidRPr="00B64069">
              <w:rPr>
                <w:rFonts w:ascii="Arial Narrow" w:hAnsi="Arial Narrow"/>
                <w:sz w:val="20"/>
                <w:szCs w:val="20"/>
              </w:rPr>
              <w:t>“</w:t>
            </w:r>
            <w:r w:rsidRPr="00B64069">
              <w:rPr>
                <w:rFonts w:ascii="Arial Narrow" w:hAnsi="Arial Narrow" w:cs="Arial"/>
                <w:sz w:val="20"/>
                <w:szCs w:val="20"/>
              </w:rPr>
              <w:t xml:space="preserve">Anexo </w:t>
            </w:r>
            <w:r w:rsidRPr="00B64069">
              <w:rPr>
                <w:rFonts w:ascii="Arial Narrow" w:hAnsi="Arial Narrow"/>
                <w:sz w:val="20"/>
                <w:szCs w:val="20"/>
              </w:rPr>
              <w:t>Capítulos 10 y 11”.</w:t>
            </w:r>
          </w:p>
          <w:p w:rsidR="0061261B" w:rsidRPr="00B64069" w:rsidRDefault="0061261B" w:rsidP="0061261B">
            <w:pPr>
              <w:pStyle w:val="Prrafodelista"/>
              <w:keepNext/>
              <w:ind w:left="0" w:right="179"/>
              <w:rPr>
                <w:rFonts w:ascii="Arial Narrow" w:hAnsi="Arial Narrow" w:cs="Arial"/>
                <w:sz w:val="20"/>
                <w:szCs w:val="20"/>
              </w:rPr>
            </w:pPr>
          </w:p>
          <w:p w:rsidR="0061261B" w:rsidRPr="00B64069" w:rsidRDefault="0061261B" w:rsidP="0061261B">
            <w:pPr>
              <w:pStyle w:val="Texto"/>
              <w:spacing w:line="308" w:lineRule="exact"/>
              <w:ind w:right="179" w:firstLine="0"/>
              <w:rPr>
                <w:rFonts w:ascii="Arial Narrow" w:hAnsi="Arial Narrow"/>
                <w:sz w:val="20"/>
              </w:rPr>
            </w:pPr>
            <w:r w:rsidRPr="00B64069">
              <w:rPr>
                <w:rFonts w:ascii="Arial Narrow" w:hAnsi="Arial Narrow"/>
                <w:sz w:val="20"/>
              </w:rPr>
              <w:t xml:space="preserve">Comparando los costos que actualmente se tienen con las especificaciones de la CFE contra los costos que se tendrán al implementar la regulación propuesta, se observa que existe una reducción en el costo de cumplimiento de la regulación para los particulares. </w:t>
            </w:r>
            <w:r w:rsidRPr="00B64069">
              <w:rPr>
                <w:rFonts w:ascii="Arial Narrow" w:hAnsi="Arial Narrow"/>
                <w:b/>
                <w:sz w:val="20"/>
              </w:rPr>
              <w:t>Redu</w:t>
            </w:r>
            <w:bookmarkStart w:id="0" w:name="_GoBack"/>
            <w:bookmarkEnd w:id="0"/>
            <w:r w:rsidRPr="00B64069">
              <w:rPr>
                <w:rFonts w:ascii="Arial Narrow" w:hAnsi="Arial Narrow"/>
                <w:b/>
                <w:sz w:val="20"/>
              </w:rPr>
              <w:t xml:space="preserve">cción = </w:t>
            </w:r>
            <w:r w:rsidR="00947C61" w:rsidRPr="00B64069">
              <w:rPr>
                <w:rFonts w:ascii="Arial Narrow" w:hAnsi="Arial Narrow"/>
                <w:b/>
                <w:sz w:val="20"/>
              </w:rPr>
              <w:t>$</w:t>
            </w:r>
            <w:r w:rsidR="006B5750">
              <w:rPr>
                <w:rFonts w:ascii="Arial Narrow" w:hAnsi="Arial Narrow"/>
                <w:b/>
                <w:sz w:val="20"/>
              </w:rPr>
              <w:t>60.011</w:t>
            </w:r>
            <w:r w:rsidR="00B64069" w:rsidRPr="00B64069">
              <w:rPr>
                <w:rFonts w:ascii="Arial Narrow" w:hAnsi="Arial Narrow"/>
                <w:b/>
                <w:sz w:val="20"/>
              </w:rPr>
              <w:t xml:space="preserve"> Mdp.</w:t>
            </w:r>
          </w:p>
          <w:p w:rsidR="0061261B" w:rsidRPr="00B64069" w:rsidRDefault="00F56B1C" w:rsidP="0061261B">
            <w:pPr>
              <w:rPr>
                <w:rFonts w:ascii="Arial Narrow" w:eastAsiaTheme="minorEastAsia" w:hAnsi="Arial Narrow"/>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ET</m:t>
                    </m:r>
                  </m:sub>
                </m:sSub>
                <m:r>
                  <m:rPr>
                    <m:sty m:val="bi"/>
                  </m:rPr>
                  <w:rPr>
                    <w:rFonts w:ascii="Cambria Math" w:hAnsi="Cambria Math"/>
                    <w:sz w:val="20"/>
                    <w:szCs w:val="20"/>
                  </w:rPr>
                  <m:t>&gt;</m:t>
                </m:r>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NOM-001</m:t>
                    </m:r>
                  </m:sub>
                </m:sSub>
              </m:oMath>
            </m:oMathPara>
          </w:p>
          <w:p w:rsidR="0061261B" w:rsidRPr="00B64069" w:rsidRDefault="0061261B" w:rsidP="0061261B">
            <w:pPr>
              <w:rPr>
                <w:rFonts w:ascii="Arial Narrow" w:hAnsi="Arial Narrow"/>
                <w:b/>
                <w:sz w:val="20"/>
                <w:szCs w:val="20"/>
              </w:rPr>
            </w:pPr>
          </w:p>
          <w:p w:rsidR="0061261B" w:rsidRPr="00B64069" w:rsidRDefault="00B64069" w:rsidP="0061261B">
            <w:pPr>
              <w:rPr>
                <w:rFonts w:ascii="Arial Narrow" w:eastAsiaTheme="minorEastAsia" w:hAnsi="Arial Narrow"/>
                <w:b/>
                <w:i/>
                <w:sz w:val="20"/>
                <w:szCs w:val="20"/>
              </w:rPr>
            </w:pPr>
            <m:oMathPara>
              <m:oMath>
                <m:r>
                  <m:rPr>
                    <m:sty m:val="b"/>
                  </m:rPr>
                  <w:rPr>
                    <w:rFonts w:ascii="Cambria Math" w:hAnsi="Cambria Math"/>
                    <w:sz w:val="20"/>
                    <w:szCs w:val="20"/>
                  </w:rPr>
                  <m:t>$123.853 Mdp</m:t>
                </m:r>
                <m:r>
                  <m:rPr>
                    <m:sty m:val="bi"/>
                  </m:rPr>
                  <w:rPr>
                    <w:rFonts w:ascii="Cambria Math" w:hAnsi="Cambria Math"/>
                    <w:sz w:val="20"/>
                    <w:szCs w:val="20"/>
                  </w:rPr>
                  <m:t>&gt;$</m:t>
                </m:r>
                <m:r>
                  <m:rPr>
                    <m:sty m:val="bi"/>
                  </m:rPr>
                  <w:rPr>
                    <w:rFonts w:ascii="Cambria Math" w:hAnsi="Cambria Math"/>
                    <w:sz w:val="20"/>
                    <w:szCs w:val="20"/>
                  </w:rPr>
                  <m:t>63.842</m:t>
                </m:r>
                <m:r>
                  <m:rPr>
                    <m:sty m:val="bi"/>
                  </m:rPr>
                  <w:rPr>
                    <w:rFonts w:ascii="Cambria Math" w:hAnsi="Cambria Math"/>
                    <w:sz w:val="20"/>
                    <w:szCs w:val="20"/>
                  </w:rPr>
                  <m:t xml:space="preserve"> Mdp</m:t>
                </m:r>
              </m:oMath>
            </m:oMathPara>
          </w:p>
          <w:p w:rsidR="0061261B" w:rsidRDefault="0061261B" w:rsidP="001A2046">
            <w:pPr>
              <w:rPr>
                <w:rFonts w:ascii="Arial Narrow" w:hAnsi="Arial Narrow"/>
                <w:i/>
                <w:sz w:val="20"/>
                <w:szCs w:val="20"/>
              </w:rPr>
            </w:pPr>
          </w:p>
        </w:tc>
      </w:tr>
    </w:tbl>
    <w:p w:rsidR="000D2737" w:rsidRDefault="000D2737" w:rsidP="000D2737">
      <w:pPr>
        <w:keepNext/>
        <w:ind w:right="-93"/>
        <w:rPr>
          <w:rFonts w:ascii="Arial Narrow" w:hAnsi="Arial Narrow"/>
          <w:i/>
          <w:sz w:val="20"/>
          <w:szCs w:val="20"/>
        </w:rPr>
      </w:pPr>
    </w:p>
    <w:p w:rsidR="009107C0" w:rsidRPr="00177418" w:rsidRDefault="009107C0" w:rsidP="009107C0">
      <w:pPr>
        <w:spacing w:after="0"/>
        <w:ind w:left="1134"/>
        <w:rPr>
          <w:rFonts w:ascii="Arial Narrow" w:hAnsi="Arial Narrow"/>
          <w:b/>
          <w:i/>
          <w:sz w:val="20"/>
          <w:szCs w:val="20"/>
        </w:rPr>
      </w:pPr>
      <w:r w:rsidRPr="00177418">
        <w:rPr>
          <w:rFonts w:ascii="Arial Narrow" w:hAnsi="Arial Narrow"/>
          <w:b/>
          <w:i/>
          <w:sz w:val="20"/>
          <w:szCs w:val="20"/>
        </w:rPr>
        <w:t>(</w:t>
      </w:r>
      <w:r w:rsidR="00177418" w:rsidRPr="00177418">
        <w:rPr>
          <w:rFonts w:ascii="Arial Narrow" w:hAnsi="Arial Narrow"/>
          <w:b/>
          <w:i/>
          <w:sz w:val="20"/>
          <w:szCs w:val="20"/>
        </w:rPr>
        <w:t xml:space="preserve">Segunda </w:t>
      </w:r>
      <w:r w:rsidRPr="00177418">
        <w:rPr>
          <w:rFonts w:ascii="Arial Narrow" w:hAnsi="Arial Narrow"/>
          <w:b/>
          <w:i/>
          <w:sz w:val="20"/>
          <w:szCs w:val="20"/>
        </w:rPr>
        <w:t>Observación CONAMER)</w:t>
      </w:r>
    </w:p>
    <w:p w:rsidR="00082E49" w:rsidRPr="008C3C0D" w:rsidRDefault="000D2737" w:rsidP="000D2737">
      <w:pPr>
        <w:pStyle w:val="Prrafodelista"/>
        <w:keepNext/>
        <w:ind w:left="1134" w:right="900"/>
        <w:jc w:val="both"/>
        <w:rPr>
          <w:rFonts w:ascii="Arial Narrow" w:hAnsi="Arial Narrow" w:cs="Arial"/>
          <w:i/>
          <w:sz w:val="20"/>
          <w:szCs w:val="20"/>
        </w:rPr>
      </w:pPr>
      <w:r>
        <w:rPr>
          <w:rFonts w:ascii="Arial Narrow" w:hAnsi="Arial Narrow" w:cs="Arial"/>
          <w:i/>
          <w:sz w:val="20"/>
          <w:szCs w:val="20"/>
        </w:rPr>
        <w:t xml:space="preserve">2. </w:t>
      </w:r>
      <w:r w:rsidR="006B4198" w:rsidRPr="008C3C0D">
        <w:rPr>
          <w:rFonts w:ascii="Arial Narrow" w:hAnsi="Arial Narrow" w:cs="Arial"/>
          <w:i/>
          <w:sz w:val="20"/>
          <w:szCs w:val="20"/>
        </w:rPr>
        <w:t xml:space="preserve">Las cantidades estimadas </w:t>
      </w:r>
      <w:r w:rsidR="00FD6CBC" w:rsidRPr="008C3C0D">
        <w:rPr>
          <w:rFonts w:ascii="Arial Narrow" w:hAnsi="Arial Narrow" w:cs="Arial"/>
          <w:i/>
          <w:sz w:val="20"/>
          <w:szCs w:val="20"/>
        </w:rPr>
        <w:t xml:space="preserve">para los costos no son coincidentes, se cita como ejemplo los costos que plantea la CRE para la Aprobación de los medidores, por un lado en el documento incluido para atender el acuerdo Presidencial indica $2,933,000.00, y por otro, dentro de la </w:t>
      </w:r>
      <w:r w:rsidR="001141E7" w:rsidRPr="008C3C0D">
        <w:rPr>
          <w:rFonts w:ascii="Arial Narrow" w:hAnsi="Arial Narrow" w:cs="Arial"/>
          <w:i/>
          <w:sz w:val="20"/>
          <w:szCs w:val="20"/>
        </w:rPr>
        <w:t>sección de análisis costo-beneficio, indica 2 cantidades distintas para esa misma acción regulatoria incluidas en la página 12 del documento 2019-01-09 AIR NOM Sistemas de Medición.docx</w:t>
      </w:r>
      <w:r w:rsidR="00086F3C" w:rsidRPr="008C3C0D">
        <w:rPr>
          <w:rFonts w:ascii="Arial Narrow" w:hAnsi="Arial Narrow" w:cs="Arial"/>
          <w:i/>
          <w:sz w:val="20"/>
          <w:szCs w:val="20"/>
        </w:rPr>
        <w:t xml:space="preserve">, mediante una tabla que tiene dos columnas con diferentes subtotales para la Aprobación de medidores, en la primera columna </w:t>
      </w:r>
      <w:r w:rsidR="00926CEC" w:rsidRPr="008C3C0D">
        <w:rPr>
          <w:rFonts w:ascii="Arial Narrow" w:hAnsi="Arial Narrow" w:cs="Arial"/>
          <w:i/>
          <w:sz w:val="20"/>
          <w:szCs w:val="20"/>
        </w:rPr>
        <w:t>el subtota</w:t>
      </w:r>
      <w:r w:rsidR="007E179B" w:rsidRPr="008C3C0D">
        <w:rPr>
          <w:rFonts w:ascii="Arial Narrow" w:hAnsi="Arial Narrow" w:cs="Arial"/>
          <w:i/>
          <w:sz w:val="20"/>
          <w:szCs w:val="20"/>
        </w:rPr>
        <w:t xml:space="preserve">l por costo de aprobación es </w:t>
      </w:r>
      <w:r w:rsidR="00926CEC" w:rsidRPr="008C3C0D">
        <w:rPr>
          <w:rFonts w:ascii="Arial Narrow" w:hAnsi="Arial Narrow" w:cs="Arial"/>
          <w:i/>
          <w:sz w:val="20"/>
          <w:szCs w:val="20"/>
        </w:rPr>
        <w:t xml:space="preserve">$2, 843,000.00, y en la segunda el subtotal es de $2,893,000.00, asimismo </w:t>
      </w:r>
      <w:r w:rsidR="00E84ED2" w:rsidRPr="008C3C0D">
        <w:rPr>
          <w:rFonts w:ascii="Arial Narrow" w:hAnsi="Arial Narrow" w:cs="Arial"/>
          <w:i/>
          <w:sz w:val="20"/>
          <w:szCs w:val="20"/>
        </w:rPr>
        <w:t xml:space="preserve">en dicha tabla para el rubro Titulo quinto, Capítulo 10, relativo a pruebas de variables de influencia y mecánicas, las cantidades son diferentes , $1,138,000.00 y $1,188,000.00 respectivamente, dentro de las columnas referidas.” </w:t>
      </w:r>
    </w:p>
    <w:p w:rsidR="00D46307" w:rsidRPr="008C3C0D" w:rsidRDefault="00D46307" w:rsidP="00D46307">
      <w:pPr>
        <w:pStyle w:val="Prrafodelista"/>
        <w:keepNext/>
        <w:ind w:left="1134" w:right="900"/>
        <w:jc w:val="both"/>
        <w:rPr>
          <w:rFonts w:ascii="Arial Narrow" w:hAnsi="Arial Narrow" w:cs="Arial"/>
          <w:i/>
          <w:sz w:val="20"/>
          <w:szCs w:val="20"/>
        </w:rPr>
      </w:pPr>
      <w:r w:rsidRPr="008C3C0D">
        <w:rPr>
          <w:rFonts w:ascii="Arial Narrow" w:hAnsi="Arial Narrow" w:cs="Arial"/>
          <w:i/>
          <w:sz w:val="20"/>
          <w:szCs w:val="20"/>
        </w:rPr>
        <w:t>(sic)</w:t>
      </w:r>
    </w:p>
    <w:p w:rsidR="000D2737" w:rsidRDefault="00177418" w:rsidP="000D2737">
      <w:pPr>
        <w:keepNext/>
        <w:ind w:right="-93"/>
        <w:rPr>
          <w:rFonts w:ascii="Arial Narrow" w:hAnsi="Arial Narrow"/>
          <w:sz w:val="20"/>
          <w:szCs w:val="20"/>
        </w:rPr>
      </w:pPr>
      <w:r>
        <w:rPr>
          <w:rFonts w:ascii="Arial Narrow" w:hAnsi="Arial Narrow"/>
          <w:sz w:val="20"/>
          <w:szCs w:val="20"/>
        </w:rPr>
        <w:t xml:space="preserve">En atención </w:t>
      </w:r>
      <w:r w:rsidR="00E644A2">
        <w:rPr>
          <w:rFonts w:ascii="Arial Narrow" w:hAnsi="Arial Narrow"/>
          <w:sz w:val="20"/>
          <w:szCs w:val="20"/>
        </w:rPr>
        <w:t xml:space="preserve">a las observaciones </w:t>
      </w:r>
      <w:r w:rsidR="000D2737" w:rsidRPr="008C3C0D">
        <w:rPr>
          <w:rFonts w:ascii="Arial Narrow" w:hAnsi="Arial Narrow"/>
          <w:sz w:val="20"/>
          <w:szCs w:val="20"/>
        </w:rPr>
        <w:t>formuladas por la CONAMER, la CRE considera oportuno replantear los capítulos 10 y 11 de AIR</w:t>
      </w:r>
      <w:r w:rsidR="000D2737">
        <w:rPr>
          <w:rFonts w:ascii="Arial Narrow" w:hAnsi="Arial Narrow"/>
          <w:sz w:val="20"/>
          <w:szCs w:val="20"/>
        </w:rPr>
        <w:t xml:space="preserve">; </w:t>
      </w:r>
      <w:r>
        <w:rPr>
          <w:rFonts w:ascii="Arial Narrow" w:hAnsi="Arial Narrow"/>
          <w:sz w:val="20"/>
          <w:szCs w:val="20"/>
        </w:rPr>
        <w:t xml:space="preserve">asimismo, </w:t>
      </w:r>
      <w:r w:rsidR="000D2737">
        <w:rPr>
          <w:rFonts w:ascii="Arial Narrow" w:hAnsi="Arial Narrow"/>
          <w:sz w:val="20"/>
          <w:szCs w:val="20"/>
        </w:rPr>
        <w:t xml:space="preserve">lo referente al cumplimiento del Artículo Quinto del Acuerdo Presidencial se replantea en la respuesta a la </w:t>
      </w:r>
      <w:r w:rsidR="0011132F">
        <w:rPr>
          <w:rFonts w:ascii="Arial Narrow" w:hAnsi="Arial Narrow"/>
          <w:sz w:val="20"/>
          <w:szCs w:val="20"/>
        </w:rPr>
        <w:t>“</w:t>
      </w:r>
      <w:r w:rsidRPr="00177418">
        <w:rPr>
          <w:rFonts w:ascii="Arial Narrow" w:hAnsi="Arial Narrow"/>
          <w:i/>
          <w:sz w:val="20"/>
          <w:szCs w:val="20"/>
        </w:rPr>
        <w:t>Primera O</w:t>
      </w:r>
      <w:r w:rsidR="000D2737" w:rsidRPr="00177418">
        <w:rPr>
          <w:rFonts w:ascii="Arial Narrow" w:hAnsi="Arial Narrow"/>
          <w:i/>
          <w:sz w:val="20"/>
          <w:szCs w:val="20"/>
        </w:rPr>
        <w:t>bservación</w:t>
      </w:r>
      <w:r>
        <w:rPr>
          <w:rFonts w:ascii="Arial Narrow" w:hAnsi="Arial Narrow"/>
          <w:i/>
          <w:sz w:val="20"/>
          <w:szCs w:val="20"/>
        </w:rPr>
        <w:t xml:space="preserve"> CONAMER</w:t>
      </w:r>
      <w:r w:rsidR="0011132F">
        <w:rPr>
          <w:rFonts w:ascii="Arial Narrow" w:hAnsi="Arial Narrow"/>
          <w:i/>
          <w:sz w:val="20"/>
          <w:szCs w:val="20"/>
        </w:rPr>
        <w:t>”</w:t>
      </w:r>
      <w:r>
        <w:rPr>
          <w:rFonts w:ascii="Arial Narrow" w:hAnsi="Arial Narrow"/>
          <w:i/>
          <w:sz w:val="20"/>
          <w:szCs w:val="20"/>
        </w:rPr>
        <w:t>,</w:t>
      </w:r>
      <w:r w:rsidRPr="00177418">
        <w:rPr>
          <w:rFonts w:ascii="Arial Narrow" w:hAnsi="Arial Narrow"/>
          <w:sz w:val="20"/>
          <w:szCs w:val="20"/>
        </w:rPr>
        <w:t xml:space="preserve"> incluida en el presente documento. </w:t>
      </w:r>
      <w:r w:rsidR="000D2737">
        <w:rPr>
          <w:rFonts w:ascii="Arial Narrow" w:hAnsi="Arial Narrow"/>
          <w:sz w:val="20"/>
          <w:szCs w:val="20"/>
        </w:rPr>
        <w:t xml:space="preserve">Véase </w:t>
      </w:r>
      <w:r>
        <w:rPr>
          <w:rFonts w:ascii="Arial Narrow" w:hAnsi="Arial Narrow"/>
          <w:sz w:val="20"/>
          <w:szCs w:val="20"/>
        </w:rPr>
        <w:t>“</w:t>
      </w:r>
      <w:r w:rsidRPr="008C3C0D">
        <w:rPr>
          <w:rFonts w:ascii="Arial Narrow" w:hAnsi="Arial Narrow"/>
          <w:sz w:val="20"/>
          <w:szCs w:val="20"/>
        </w:rPr>
        <w:t xml:space="preserve">Anexo </w:t>
      </w:r>
      <w:r>
        <w:rPr>
          <w:rFonts w:ascii="Arial Narrow" w:hAnsi="Arial Narrow"/>
          <w:sz w:val="20"/>
          <w:szCs w:val="20"/>
        </w:rPr>
        <w:t>Capítulos 10 y 11”</w:t>
      </w:r>
      <w:r w:rsidR="0011132F">
        <w:rPr>
          <w:rFonts w:ascii="Arial Narrow" w:hAnsi="Arial Narrow"/>
          <w:sz w:val="20"/>
          <w:szCs w:val="20"/>
        </w:rPr>
        <w:t>.</w:t>
      </w:r>
    </w:p>
    <w:p w:rsidR="000D2737" w:rsidRDefault="000D2737" w:rsidP="00F773D8">
      <w:pPr>
        <w:spacing w:after="0"/>
        <w:ind w:left="1134"/>
        <w:rPr>
          <w:rFonts w:ascii="Arial Narrow" w:hAnsi="Arial Narrow"/>
          <w:i/>
          <w:sz w:val="20"/>
          <w:szCs w:val="20"/>
        </w:rPr>
      </w:pPr>
    </w:p>
    <w:p w:rsidR="00F773D8" w:rsidRPr="00177418" w:rsidRDefault="00F773D8" w:rsidP="00F773D8">
      <w:pPr>
        <w:spacing w:after="0"/>
        <w:ind w:left="1134"/>
        <w:rPr>
          <w:rFonts w:ascii="Arial Narrow" w:hAnsi="Arial Narrow"/>
          <w:b/>
          <w:i/>
          <w:sz w:val="20"/>
          <w:szCs w:val="20"/>
        </w:rPr>
      </w:pPr>
      <w:r w:rsidRPr="00177418">
        <w:rPr>
          <w:rFonts w:ascii="Arial Narrow" w:hAnsi="Arial Narrow"/>
          <w:b/>
          <w:i/>
          <w:sz w:val="20"/>
          <w:szCs w:val="20"/>
        </w:rPr>
        <w:t>(</w:t>
      </w:r>
      <w:r w:rsidR="00177418" w:rsidRPr="00177418">
        <w:rPr>
          <w:rFonts w:ascii="Arial Narrow" w:hAnsi="Arial Narrow"/>
          <w:b/>
          <w:i/>
          <w:sz w:val="20"/>
          <w:szCs w:val="20"/>
        </w:rPr>
        <w:t xml:space="preserve">Tercera </w:t>
      </w:r>
      <w:r w:rsidRPr="00177418">
        <w:rPr>
          <w:rFonts w:ascii="Arial Narrow" w:hAnsi="Arial Narrow"/>
          <w:b/>
          <w:i/>
          <w:sz w:val="20"/>
          <w:szCs w:val="20"/>
        </w:rPr>
        <w:t>Observación CONAMER)</w:t>
      </w:r>
    </w:p>
    <w:p w:rsidR="001C4614" w:rsidRPr="00E644A2" w:rsidRDefault="000D2737" w:rsidP="000D2737">
      <w:pPr>
        <w:pStyle w:val="Prrafodelista"/>
        <w:keepNext/>
        <w:tabs>
          <w:tab w:val="left" w:pos="709"/>
        </w:tabs>
        <w:ind w:left="1134" w:right="900"/>
        <w:jc w:val="both"/>
        <w:rPr>
          <w:rFonts w:ascii="Arial Narrow" w:hAnsi="Arial Narrow" w:cs="Arial"/>
          <w:i/>
          <w:sz w:val="20"/>
          <w:szCs w:val="20"/>
        </w:rPr>
      </w:pPr>
      <w:r>
        <w:rPr>
          <w:rFonts w:ascii="Arial Narrow" w:hAnsi="Arial Narrow" w:cs="Arial"/>
          <w:i/>
          <w:sz w:val="20"/>
          <w:szCs w:val="20"/>
        </w:rPr>
        <w:lastRenderedPageBreak/>
        <w:t xml:space="preserve">3. </w:t>
      </w:r>
      <w:r w:rsidR="00082E49" w:rsidRPr="008C3C0D">
        <w:rPr>
          <w:rFonts w:ascii="Arial Narrow" w:hAnsi="Arial Narrow" w:cs="Arial"/>
          <w:i/>
          <w:sz w:val="20"/>
          <w:szCs w:val="20"/>
        </w:rPr>
        <w:t xml:space="preserve">De igual </w:t>
      </w:r>
      <w:r w:rsidR="009657DA" w:rsidRPr="008C3C0D">
        <w:rPr>
          <w:rFonts w:ascii="Arial Narrow" w:hAnsi="Arial Narrow" w:cs="Arial"/>
          <w:i/>
          <w:sz w:val="20"/>
          <w:szCs w:val="20"/>
        </w:rPr>
        <w:t>forma en</w:t>
      </w:r>
      <w:r w:rsidR="00082E49" w:rsidRPr="008C3C0D">
        <w:rPr>
          <w:rFonts w:ascii="Arial Narrow" w:hAnsi="Arial Narrow" w:cs="Arial"/>
          <w:i/>
          <w:sz w:val="20"/>
          <w:szCs w:val="20"/>
        </w:rPr>
        <w:t xml:space="preserve"> el documento de análisis de costo-beneficio la CRE incluye otro tipo de costos derivados del cumplimiento de la NOM propuesta, tales como</w:t>
      </w:r>
      <w:r w:rsidR="00240961" w:rsidRPr="008C3C0D">
        <w:rPr>
          <w:rFonts w:ascii="Arial Narrow" w:hAnsi="Arial Narrow" w:cs="Arial"/>
          <w:i/>
          <w:sz w:val="20"/>
          <w:szCs w:val="20"/>
        </w:rPr>
        <w:t>:</w:t>
      </w:r>
      <w:r w:rsidR="00082E49" w:rsidRPr="008C3C0D">
        <w:rPr>
          <w:rFonts w:ascii="Arial Narrow" w:hAnsi="Arial Narrow" w:cs="Arial"/>
          <w:i/>
          <w:sz w:val="20"/>
          <w:szCs w:val="20"/>
        </w:rPr>
        <w:t xml:space="preserve"> i)</w:t>
      </w:r>
      <w:r w:rsidR="00240961" w:rsidRPr="008C3C0D">
        <w:rPr>
          <w:rFonts w:ascii="Arial Narrow" w:hAnsi="Arial Narrow" w:cs="Arial"/>
          <w:i/>
          <w:sz w:val="20"/>
          <w:szCs w:val="20"/>
        </w:rPr>
        <w:t xml:space="preserve"> acreditación de unidades de verificación, ii) acreditación organismos de certificación, iii) acreditación laboratorios de prueba, iv) verificación, v) certificación, vi) costo por visita</w:t>
      </w:r>
      <w:r w:rsidR="001C4614" w:rsidRPr="008C3C0D">
        <w:rPr>
          <w:rFonts w:ascii="Arial Narrow" w:hAnsi="Arial Narrow" w:cs="Arial"/>
          <w:i/>
          <w:sz w:val="20"/>
          <w:szCs w:val="20"/>
        </w:rPr>
        <w:t xml:space="preserve">, vii) calibración, viii) medidor patrón, y otra certificación entre otros, sin embargo dichos costos no fueron estimados para atender </w:t>
      </w:r>
      <w:r w:rsidR="001C4614" w:rsidRPr="00E644A2">
        <w:rPr>
          <w:rFonts w:ascii="Arial Narrow" w:hAnsi="Arial Narrow" w:cs="Arial"/>
          <w:i/>
          <w:sz w:val="20"/>
          <w:szCs w:val="20"/>
        </w:rPr>
        <w:t>el Artículo Quinto del Acuerdo Presidencial. Lo cual es una condición indispensable para que se atienda dicho artículo.”</w:t>
      </w:r>
    </w:p>
    <w:p w:rsidR="00F41956" w:rsidRPr="008C3C0D" w:rsidRDefault="001C4614" w:rsidP="00F773D8">
      <w:pPr>
        <w:keepNext/>
        <w:tabs>
          <w:tab w:val="left" w:pos="709"/>
        </w:tabs>
        <w:ind w:left="1134" w:right="900"/>
        <w:rPr>
          <w:rFonts w:ascii="Arial Narrow" w:hAnsi="Arial Narrow"/>
          <w:i/>
          <w:sz w:val="20"/>
          <w:szCs w:val="20"/>
        </w:rPr>
      </w:pPr>
      <w:r w:rsidRPr="00E644A2">
        <w:rPr>
          <w:rFonts w:ascii="Arial Narrow" w:hAnsi="Arial Narrow"/>
          <w:i/>
          <w:sz w:val="20"/>
          <w:szCs w:val="20"/>
        </w:rPr>
        <w:t>Por lo anteriormente</w:t>
      </w:r>
      <w:r w:rsidR="009657DA" w:rsidRPr="00E644A2">
        <w:rPr>
          <w:rFonts w:ascii="Arial Narrow" w:hAnsi="Arial Narrow"/>
          <w:i/>
          <w:sz w:val="20"/>
          <w:szCs w:val="20"/>
        </w:rPr>
        <w:t xml:space="preserve"> expresado, la CONAMER </w:t>
      </w:r>
      <w:r w:rsidR="002E76C6" w:rsidRPr="00E644A2">
        <w:rPr>
          <w:rFonts w:ascii="Arial Narrow" w:hAnsi="Arial Narrow"/>
          <w:i/>
          <w:sz w:val="20"/>
          <w:szCs w:val="20"/>
        </w:rPr>
        <w:t>considera que no cuenta con los elementos necesarios para dar por atendido el Artículo Quinto del Acuerdo Presidencial, por lo que resulta fundamental que la CRE realice los ajustes pertinentes para la correcta</w:t>
      </w:r>
      <w:r w:rsidR="002E76C6" w:rsidRPr="008C3C0D">
        <w:rPr>
          <w:rFonts w:ascii="Arial Narrow" w:hAnsi="Arial Narrow"/>
          <w:i/>
          <w:sz w:val="20"/>
          <w:szCs w:val="20"/>
        </w:rPr>
        <w:t xml:space="preserve"> estimación de los ahorros por acciones </w:t>
      </w:r>
      <w:r w:rsidR="007A6EDA" w:rsidRPr="008C3C0D">
        <w:rPr>
          <w:rFonts w:ascii="Arial Narrow" w:hAnsi="Arial Narrow"/>
          <w:i/>
          <w:sz w:val="20"/>
          <w:szCs w:val="20"/>
        </w:rPr>
        <w:t>a simplificar contra el total d</w:t>
      </w:r>
      <w:r w:rsidR="002E76C6" w:rsidRPr="008C3C0D">
        <w:rPr>
          <w:rFonts w:ascii="Arial Narrow" w:hAnsi="Arial Narrow"/>
          <w:i/>
          <w:sz w:val="20"/>
          <w:szCs w:val="20"/>
        </w:rPr>
        <w:t>e</w:t>
      </w:r>
      <w:r w:rsidR="007A6EDA" w:rsidRPr="008C3C0D">
        <w:rPr>
          <w:rFonts w:ascii="Arial Narrow" w:hAnsi="Arial Narrow"/>
          <w:i/>
          <w:sz w:val="20"/>
          <w:szCs w:val="20"/>
        </w:rPr>
        <w:t xml:space="preserve"> </w:t>
      </w:r>
      <w:r w:rsidR="002E76C6" w:rsidRPr="008C3C0D">
        <w:rPr>
          <w:rFonts w:ascii="Arial Narrow" w:hAnsi="Arial Narrow"/>
          <w:i/>
          <w:sz w:val="20"/>
          <w:szCs w:val="20"/>
        </w:rPr>
        <w:t xml:space="preserve">los costos de cumplimiento que implicaría </w:t>
      </w:r>
      <w:r w:rsidR="007A6EDA" w:rsidRPr="008C3C0D">
        <w:rPr>
          <w:rFonts w:ascii="Arial Narrow" w:hAnsi="Arial Narrow"/>
          <w:i/>
          <w:sz w:val="20"/>
          <w:szCs w:val="20"/>
        </w:rPr>
        <w:t xml:space="preserve">la emisión de la propuesta regulatoria.  </w:t>
      </w:r>
      <w:r w:rsidR="009657DA" w:rsidRPr="008C3C0D">
        <w:rPr>
          <w:rFonts w:ascii="Arial Narrow" w:hAnsi="Arial Narrow"/>
          <w:i/>
          <w:sz w:val="20"/>
          <w:szCs w:val="20"/>
        </w:rPr>
        <w:t xml:space="preserve"> </w:t>
      </w:r>
    </w:p>
    <w:p w:rsidR="0038131B" w:rsidRPr="008C3C0D" w:rsidRDefault="00F41956" w:rsidP="00F41956">
      <w:pPr>
        <w:keepNext/>
        <w:tabs>
          <w:tab w:val="left" w:pos="709"/>
        </w:tabs>
        <w:ind w:left="709" w:right="900"/>
        <w:rPr>
          <w:rFonts w:ascii="Arial Narrow" w:hAnsi="Arial Narrow"/>
          <w:i/>
          <w:sz w:val="20"/>
          <w:szCs w:val="20"/>
        </w:rPr>
      </w:pPr>
      <w:r w:rsidRPr="008C3C0D">
        <w:rPr>
          <w:rFonts w:ascii="Arial Narrow" w:hAnsi="Arial Narrow"/>
          <w:i/>
          <w:sz w:val="20"/>
          <w:szCs w:val="20"/>
        </w:rPr>
        <w:t>(sic)</w:t>
      </w:r>
      <w:r w:rsidR="001C4614" w:rsidRPr="008C3C0D">
        <w:rPr>
          <w:rFonts w:ascii="Arial Narrow" w:hAnsi="Arial Narrow"/>
          <w:i/>
          <w:sz w:val="20"/>
          <w:szCs w:val="20"/>
        </w:rPr>
        <w:t xml:space="preserve"> </w:t>
      </w:r>
      <w:r w:rsidR="00E84ED2" w:rsidRPr="008C3C0D">
        <w:rPr>
          <w:rFonts w:ascii="Arial Narrow" w:hAnsi="Arial Narrow"/>
          <w:i/>
          <w:sz w:val="20"/>
          <w:szCs w:val="20"/>
        </w:rPr>
        <w:t xml:space="preserve">  </w:t>
      </w:r>
      <w:r w:rsidR="00086F3C" w:rsidRPr="008C3C0D">
        <w:rPr>
          <w:rFonts w:ascii="Arial Narrow" w:hAnsi="Arial Narrow"/>
          <w:i/>
          <w:sz w:val="20"/>
          <w:szCs w:val="20"/>
        </w:rPr>
        <w:t xml:space="preserve"> </w:t>
      </w:r>
      <w:r w:rsidR="001141E7" w:rsidRPr="008C3C0D">
        <w:rPr>
          <w:rFonts w:ascii="Arial Narrow" w:hAnsi="Arial Narrow"/>
          <w:i/>
          <w:sz w:val="20"/>
          <w:szCs w:val="20"/>
        </w:rPr>
        <w:t xml:space="preserve"> </w:t>
      </w:r>
      <w:r w:rsidR="006B4198" w:rsidRPr="008C3C0D">
        <w:rPr>
          <w:rFonts w:ascii="Arial Narrow" w:hAnsi="Arial Narrow"/>
          <w:i/>
          <w:sz w:val="20"/>
          <w:szCs w:val="20"/>
        </w:rPr>
        <w:t xml:space="preserve">  </w:t>
      </w:r>
      <w:r w:rsidR="00BF0002" w:rsidRPr="008C3C0D">
        <w:rPr>
          <w:rFonts w:ascii="Arial Narrow" w:hAnsi="Arial Narrow"/>
          <w:i/>
          <w:sz w:val="20"/>
          <w:szCs w:val="20"/>
        </w:rPr>
        <w:t xml:space="preserve"> </w:t>
      </w:r>
    </w:p>
    <w:p w:rsidR="00A4791C" w:rsidRPr="008C3C0D" w:rsidRDefault="00A4791C" w:rsidP="00F41956">
      <w:pPr>
        <w:tabs>
          <w:tab w:val="left" w:pos="1920"/>
        </w:tabs>
        <w:rPr>
          <w:rFonts w:ascii="Arial Narrow" w:hAnsi="Arial Narrow"/>
          <w:sz w:val="20"/>
          <w:szCs w:val="20"/>
        </w:rPr>
      </w:pPr>
    </w:p>
    <w:p w:rsidR="00177418" w:rsidRDefault="00177418" w:rsidP="00177418">
      <w:pPr>
        <w:keepNext/>
        <w:ind w:right="-93"/>
        <w:rPr>
          <w:rFonts w:ascii="Arial Narrow" w:hAnsi="Arial Narrow"/>
          <w:sz w:val="20"/>
          <w:szCs w:val="20"/>
        </w:rPr>
      </w:pPr>
      <w:r>
        <w:rPr>
          <w:rFonts w:ascii="Arial Narrow" w:hAnsi="Arial Narrow"/>
          <w:sz w:val="20"/>
          <w:szCs w:val="20"/>
        </w:rPr>
        <w:t>En atención a esta observación</w:t>
      </w:r>
      <w:r w:rsidR="00E644A2">
        <w:rPr>
          <w:rFonts w:ascii="Arial Narrow" w:hAnsi="Arial Narrow"/>
          <w:sz w:val="20"/>
          <w:szCs w:val="20"/>
        </w:rPr>
        <w:t xml:space="preserve"> y a las previas</w:t>
      </w:r>
      <w:r>
        <w:rPr>
          <w:rFonts w:ascii="Arial Narrow" w:hAnsi="Arial Narrow"/>
          <w:sz w:val="20"/>
          <w:szCs w:val="20"/>
        </w:rPr>
        <w:t>, se replantea</w:t>
      </w:r>
      <w:r w:rsidRPr="00177418">
        <w:rPr>
          <w:rFonts w:ascii="Arial Narrow" w:hAnsi="Arial Narrow"/>
          <w:sz w:val="20"/>
          <w:szCs w:val="20"/>
        </w:rPr>
        <w:t xml:space="preserve"> </w:t>
      </w:r>
      <w:r>
        <w:rPr>
          <w:rFonts w:ascii="Arial Narrow" w:hAnsi="Arial Narrow"/>
          <w:sz w:val="20"/>
          <w:szCs w:val="20"/>
        </w:rPr>
        <w:t xml:space="preserve">lo referente al cumplimiento del Artículo Quinto del Acuerdo Presidencial, considerando todos los costos que genera la regulación propuesta; dicho replanteamiento puede consultarse en la respuesta a la </w:t>
      </w:r>
      <w:r w:rsidR="0011132F">
        <w:rPr>
          <w:rFonts w:ascii="Arial Narrow" w:hAnsi="Arial Narrow"/>
          <w:sz w:val="20"/>
          <w:szCs w:val="20"/>
        </w:rPr>
        <w:t>“</w:t>
      </w:r>
      <w:r w:rsidRPr="00177418">
        <w:rPr>
          <w:rFonts w:ascii="Arial Narrow" w:hAnsi="Arial Narrow"/>
          <w:i/>
          <w:sz w:val="20"/>
          <w:szCs w:val="20"/>
        </w:rPr>
        <w:t>Primera Observación</w:t>
      </w:r>
      <w:r>
        <w:rPr>
          <w:rFonts w:ascii="Arial Narrow" w:hAnsi="Arial Narrow"/>
          <w:i/>
          <w:sz w:val="20"/>
          <w:szCs w:val="20"/>
        </w:rPr>
        <w:t xml:space="preserve"> CONAMER</w:t>
      </w:r>
      <w:r w:rsidR="0011132F">
        <w:rPr>
          <w:rFonts w:ascii="Arial Narrow" w:hAnsi="Arial Narrow"/>
          <w:i/>
          <w:sz w:val="20"/>
          <w:szCs w:val="20"/>
        </w:rPr>
        <w:t>”</w:t>
      </w:r>
      <w:r w:rsidRPr="00177418">
        <w:rPr>
          <w:rFonts w:ascii="Arial Narrow" w:hAnsi="Arial Narrow"/>
          <w:sz w:val="20"/>
          <w:szCs w:val="20"/>
        </w:rPr>
        <w:t xml:space="preserve">, incluida en el presente documento. </w:t>
      </w:r>
    </w:p>
    <w:p w:rsidR="007967DF" w:rsidRPr="008C3C0D" w:rsidRDefault="007967DF" w:rsidP="00A4791C">
      <w:pPr>
        <w:tabs>
          <w:tab w:val="left" w:pos="1920"/>
        </w:tabs>
        <w:rPr>
          <w:rFonts w:ascii="Arial Narrow" w:hAnsi="Arial Narrow"/>
          <w:sz w:val="20"/>
          <w:szCs w:val="20"/>
        </w:rPr>
      </w:pPr>
    </w:p>
    <w:p w:rsidR="00177418" w:rsidRPr="00177418" w:rsidRDefault="00177418" w:rsidP="00177418">
      <w:pPr>
        <w:spacing w:after="0"/>
        <w:ind w:left="1134"/>
        <w:rPr>
          <w:rFonts w:ascii="Arial Narrow" w:hAnsi="Arial Narrow"/>
          <w:b/>
          <w:i/>
          <w:sz w:val="20"/>
          <w:szCs w:val="20"/>
        </w:rPr>
      </w:pPr>
      <w:r w:rsidRPr="00177418">
        <w:rPr>
          <w:rFonts w:ascii="Arial Narrow" w:hAnsi="Arial Narrow"/>
          <w:b/>
          <w:i/>
          <w:sz w:val="20"/>
          <w:szCs w:val="20"/>
        </w:rPr>
        <w:t>(Cuarta Observación CONAMER)</w:t>
      </w:r>
    </w:p>
    <w:p w:rsidR="00D64702" w:rsidRPr="008C3C0D" w:rsidRDefault="00D64702" w:rsidP="00177418">
      <w:pPr>
        <w:tabs>
          <w:tab w:val="left" w:pos="1920"/>
        </w:tabs>
        <w:ind w:left="1134" w:right="900"/>
        <w:rPr>
          <w:rFonts w:ascii="Arial Narrow" w:hAnsi="Arial Narrow"/>
          <w:b/>
          <w:i/>
          <w:sz w:val="20"/>
          <w:szCs w:val="20"/>
        </w:rPr>
      </w:pPr>
      <w:r w:rsidRPr="008C3C0D">
        <w:rPr>
          <w:rFonts w:ascii="Arial Narrow" w:hAnsi="Arial Narrow"/>
          <w:b/>
          <w:i/>
          <w:sz w:val="20"/>
          <w:szCs w:val="20"/>
        </w:rPr>
        <w:t>V.</w:t>
      </w:r>
      <w:r w:rsidRPr="008C3C0D">
        <w:rPr>
          <w:rFonts w:ascii="Arial Narrow" w:hAnsi="Arial Narrow"/>
          <w:b/>
          <w:i/>
          <w:sz w:val="20"/>
          <w:szCs w:val="20"/>
        </w:rPr>
        <w:tab/>
        <w:t xml:space="preserve"> Impacto de la Regulación</w:t>
      </w:r>
    </w:p>
    <w:p w:rsidR="00865D79" w:rsidRPr="008C3C0D" w:rsidRDefault="00865D79" w:rsidP="00177418">
      <w:pPr>
        <w:tabs>
          <w:tab w:val="left" w:pos="709"/>
        </w:tabs>
        <w:ind w:left="1134" w:right="900"/>
        <w:rPr>
          <w:rFonts w:ascii="Arial Narrow" w:hAnsi="Arial Narrow"/>
          <w:b/>
          <w:i/>
          <w:sz w:val="20"/>
          <w:szCs w:val="20"/>
        </w:rPr>
      </w:pPr>
      <w:r w:rsidRPr="008C3C0D">
        <w:rPr>
          <w:rFonts w:ascii="Arial Narrow" w:hAnsi="Arial Narrow"/>
          <w:b/>
          <w:i/>
          <w:sz w:val="20"/>
          <w:szCs w:val="20"/>
        </w:rPr>
        <w:t>A. Carga administrativa</w:t>
      </w:r>
    </w:p>
    <w:p w:rsidR="00865D79" w:rsidRPr="008C3C0D" w:rsidRDefault="00865D79" w:rsidP="00177418">
      <w:pPr>
        <w:tabs>
          <w:tab w:val="left" w:pos="709"/>
          <w:tab w:val="left" w:pos="7938"/>
        </w:tabs>
        <w:ind w:left="1134" w:right="900"/>
        <w:rPr>
          <w:rFonts w:ascii="Arial Narrow" w:hAnsi="Arial Narrow"/>
          <w:i/>
          <w:sz w:val="20"/>
          <w:szCs w:val="20"/>
        </w:rPr>
      </w:pPr>
      <w:r w:rsidRPr="008C3C0D">
        <w:rPr>
          <w:rFonts w:ascii="Arial Narrow" w:hAnsi="Arial Narrow"/>
          <w:i/>
          <w:sz w:val="20"/>
          <w:szCs w:val="20"/>
        </w:rPr>
        <w:t>En el numeral 6 del formulario del AIR en el que se solicita que la Dependencia u Organismos Descentralizados indiquen si la regulación propuesta crea, modifica o elimina trámites, la CRE indicó en el formulario del AIR mediante un documento anexo el trámite denominado: Aprobación del Modelo o Prototipo de Instrumentos de Medición y Patrones Sujetos a NOM previa a su Comercialización, el cual ya está inscrito en el Registro Federal de Trámites y Servicios (RFTS) de la CONAMER por lo cual se identifica con la homoclave SE-04-004, al respecto, tanto en la justificación de la sección del AIR que nos ocupa como en el documento ya referido la CRE argumenta que el trámite no se modifica.</w:t>
      </w:r>
    </w:p>
    <w:p w:rsidR="00865D79" w:rsidRPr="008C3C0D" w:rsidRDefault="00865D79" w:rsidP="00F41956">
      <w:pPr>
        <w:tabs>
          <w:tab w:val="left" w:pos="1920"/>
          <w:tab w:val="left" w:pos="7938"/>
        </w:tabs>
        <w:ind w:right="900"/>
        <w:rPr>
          <w:rFonts w:ascii="Arial Narrow" w:hAnsi="Arial Narrow"/>
          <w:i/>
          <w:sz w:val="20"/>
          <w:szCs w:val="20"/>
        </w:rPr>
      </w:pPr>
    </w:p>
    <w:p w:rsidR="00F41956" w:rsidRPr="008C3C0D" w:rsidRDefault="00865D79" w:rsidP="00177418">
      <w:pPr>
        <w:tabs>
          <w:tab w:val="left" w:pos="7938"/>
        </w:tabs>
        <w:ind w:left="1134" w:right="900"/>
        <w:rPr>
          <w:rFonts w:ascii="Arial Narrow" w:hAnsi="Arial Narrow"/>
          <w:i/>
          <w:sz w:val="20"/>
          <w:szCs w:val="20"/>
        </w:rPr>
      </w:pPr>
      <w:r w:rsidRPr="008C3C0D">
        <w:rPr>
          <w:rFonts w:ascii="Arial Narrow" w:hAnsi="Arial Narrow"/>
          <w:i/>
          <w:sz w:val="20"/>
          <w:szCs w:val="20"/>
        </w:rPr>
        <w:t>No obstante la aseveración de esta Comisión, este Órgano Desconcentrado del análisis y revisión del trámite inscrito observa que el plazo de respuesta incluido en la ficha correspondiente es de 10 días hábiles de conformidad con lo previsto en el Acuerdo por el que se reduce el plazo de respuesta de los trámites que se indican inscritos en el Registro Federal</w:t>
      </w:r>
      <w:r w:rsidR="00F41956" w:rsidRPr="008C3C0D">
        <w:rPr>
          <w:rFonts w:ascii="Arial Narrow" w:hAnsi="Arial Narrow"/>
          <w:i/>
          <w:sz w:val="20"/>
          <w:szCs w:val="20"/>
        </w:rPr>
        <w:t xml:space="preserve"> </w:t>
      </w:r>
      <w:r w:rsidRPr="008C3C0D">
        <w:rPr>
          <w:rFonts w:ascii="Arial Narrow" w:hAnsi="Arial Narrow"/>
          <w:i/>
          <w:sz w:val="20"/>
          <w:szCs w:val="20"/>
        </w:rPr>
        <w:t>de Trámites y Servicios, que aplica la Secretaría de Economía, el cual difiere con el plazo indicado por la CRE en la información del trámite en el formulario del AIR y del documento Anexo, en donde se plantea un plazo respuesta de 15 días, derivado de lo cual la CONAMER solicita a la CRE la justificación de esa diferencia debido a que un aumento en los días para que la Autoridad resuelva, implica costos económicos adicionales para los sujetos regulados</w:t>
      </w:r>
      <w:r w:rsidRPr="008C3C0D">
        <w:rPr>
          <w:rFonts w:ascii="Arial Narrow" w:hAnsi="Arial Narrow"/>
          <w:sz w:val="20"/>
          <w:szCs w:val="20"/>
        </w:rPr>
        <w:t>.</w:t>
      </w:r>
    </w:p>
    <w:p w:rsidR="007E215A" w:rsidRPr="008C3C0D" w:rsidRDefault="00844EBA" w:rsidP="00177418">
      <w:pPr>
        <w:tabs>
          <w:tab w:val="left" w:pos="7938"/>
        </w:tabs>
        <w:ind w:left="1134" w:right="900"/>
        <w:rPr>
          <w:rFonts w:ascii="Arial Narrow" w:hAnsi="Arial Narrow"/>
          <w:i/>
          <w:sz w:val="20"/>
          <w:szCs w:val="20"/>
        </w:rPr>
      </w:pPr>
      <w:r w:rsidRPr="008C3C0D">
        <w:rPr>
          <w:rFonts w:ascii="Arial Narrow" w:hAnsi="Arial Narrow"/>
          <w:i/>
          <w:sz w:val="20"/>
          <w:szCs w:val="20"/>
        </w:rPr>
        <w:t>(sic)</w:t>
      </w:r>
    </w:p>
    <w:p w:rsidR="00844EBA" w:rsidRPr="008C3C0D" w:rsidRDefault="00844EBA" w:rsidP="007E215A">
      <w:pPr>
        <w:spacing w:after="0"/>
        <w:rPr>
          <w:rFonts w:ascii="Arial Narrow" w:hAnsi="Arial Narrow"/>
          <w:b/>
          <w:sz w:val="20"/>
          <w:szCs w:val="20"/>
          <w:u w:val="single"/>
        </w:rPr>
      </w:pPr>
    </w:p>
    <w:p w:rsidR="007E215A" w:rsidRPr="008C3C0D" w:rsidRDefault="007E215A" w:rsidP="007E215A">
      <w:pPr>
        <w:spacing w:after="0"/>
        <w:rPr>
          <w:rFonts w:ascii="Arial Narrow" w:hAnsi="Arial Narrow"/>
          <w:sz w:val="20"/>
          <w:szCs w:val="20"/>
        </w:rPr>
      </w:pPr>
      <w:r w:rsidRPr="008C3C0D">
        <w:rPr>
          <w:rFonts w:ascii="Arial Narrow" w:hAnsi="Arial Narrow"/>
          <w:sz w:val="20"/>
          <w:szCs w:val="20"/>
        </w:rPr>
        <w:t xml:space="preserve">Se hace la precisión de que el tiempo de respuesta para la Aprobación del Modelo o Prototipo de los instrumentos de medición regulados por la NOM-001-CRE/SCFI-2018, será de 10 días, conforme a lo establecido en el Acuerdo por el que se reduce el plazo de respuesta de los trámites que se indican, inscritos en el Registro Federal de Trámites y Servicios, que aplica la Secretaría de Economía, publicado en el Diario Oficial de la Federación el 23 de mayo de 2018, trámite con homoclave </w:t>
      </w:r>
      <w:r w:rsidRPr="008C3C0D">
        <w:rPr>
          <w:rFonts w:ascii="Arial Narrow" w:hAnsi="Arial Narrow"/>
          <w:i/>
          <w:sz w:val="20"/>
          <w:szCs w:val="20"/>
        </w:rPr>
        <w:t>SE-04-002, Aprobación del modelo o prototipo de instrumentos de medición y patrones sujetos a norma oficial mexicana, previa a su comercialización.</w:t>
      </w:r>
    </w:p>
    <w:p w:rsidR="007E215A" w:rsidRPr="008C3C0D" w:rsidRDefault="007E215A" w:rsidP="007E215A">
      <w:pPr>
        <w:spacing w:after="0"/>
        <w:rPr>
          <w:rFonts w:ascii="Arial Narrow" w:hAnsi="Arial Narrow"/>
          <w:sz w:val="20"/>
          <w:szCs w:val="20"/>
        </w:rPr>
      </w:pPr>
    </w:p>
    <w:p w:rsidR="00177418" w:rsidRDefault="007E215A" w:rsidP="007E215A">
      <w:pPr>
        <w:spacing w:after="0"/>
        <w:rPr>
          <w:rFonts w:ascii="Arial Narrow" w:hAnsi="Arial Narrow"/>
          <w:sz w:val="20"/>
          <w:szCs w:val="20"/>
        </w:rPr>
      </w:pPr>
      <w:r w:rsidRPr="008C3C0D">
        <w:rPr>
          <w:rFonts w:ascii="Arial Narrow" w:hAnsi="Arial Narrow"/>
          <w:sz w:val="20"/>
          <w:szCs w:val="20"/>
        </w:rPr>
        <w:t xml:space="preserve">Al respecto, se hace la aclaración de que esta Comisión consideró 15 días, en atención al tiempo de respuesta que en su momento manifestó la Secretaría de Economía en su página web, esto previo a la emisión del Acuerdo con fecha 23 de mayo de 2018. </w:t>
      </w:r>
    </w:p>
    <w:p w:rsidR="00177418" w:rsidRDefault="00177418" w:rsidP="007E215A">
      <w:pPr>
        <w:spacing w:after="0"/>
        <w:rPr>
          <w:rFonts w:ascii="Arial Narrow" w:hAnsi="Arial Narrow"/>
          <w:sz w:val="20"/>
          <w:szCs w:val="20"/>
        </w:rPr>
      </w:pPr>
    </w:p>
    <w:p w:rsidR="007E215A" w:rsidRPr="00177418" w:rsidRDefault="007E215A" w:rsidP="007E215A">
      <w:pPr>
        <w:spacing w:after="0"/>
        <w:rPr>
          <w:rFonts w:ascii="Arial Narrow" w:hAnsi="Arial Narrow"/>
          <w:b/>
          <w:sz w:val="20"/>
          <w:szCs w:val="20"/>
        </w:rPr>
      </w:pPr>
      <w:r w:rsidRPr="008C3C0D">
        <w:rPr>
          <w:rFonts w:ascii="Arial Narrow" w:hAnsi="Arial Narrow"/>
          <w:sz w:val="20"/>
          <w:szCs w:val="20"/>
        </w:rPr>
        <w:lastRenderedPageBreak/>
        <w:t xml:space="preserve">Por lo anterior, se elimina del numeral </w:t>
      </w:r>
      <w:r w:rsidRPr="008C3C0D">
        <w:rPr>
          <w:rFonts w:ascii="Arial Narrow" w:hAnsi="Arial Narrow"/>
          <w:i/>
          <w:sz w:val="20"/>
          <w:szCs w:val="20"/>
        </w:rPr>
        <w:t>6.</w:t>
      </w:r>
      <w:r w:rsidR="00177418">
        <w:rPr>
          <w:rFonts w:ascii="Arial Narrow" w:hAnsi="Arial Narrow"/>
          <w:i/>
          <w:sz w:val="20"/>
          <w:szCs w:val="20"/>
        </w:rPr>
        <w:t xml:space="preserve"> </w:t>
      </w:r>
      <w:r w:rsidRPr="008C3C0D">
        <w:rPr>
          <w:rFonts w:ascii="Arial Narrow" w:hAnsi="Arial Narrow"/>
          <w:i/>
          <w:sz w:val="20"/>
          <w:szCs w:val="20"/>
        </w:rPr>
        <w:t>¿La regulación propuesta crea, modifica o elimina trámites?</w:t>
      </w:r>
      <w:r w:rsidR="00177418">
        <w:rPr>
          <w:rFonts w:ascii="Arial Narrow" w:hAnsi="Arial Narrow"/>
          <w:sz w:val="20"/>
          <w:szCs w:val="20"/>
        </w:rPr>
        <w:t xml:space="preserve"> del AIR, </w:t>
      </w:r>
      <w:r w:rsidRPr="008C3C0D">
        <w:rPr>
          <w:rFonts w:ascii="Arial Narrow" w:hAnsi="Arial Narrow"/>
          <w:sz w:val="20"/>
          <w:szCs w:val="20"/>
        </w:rPr>
        <w:t xml:space="preserve">el trámite SE-04-002, ya que </w:t>
      </w:r>
      <w:r w:rsidRPr="00177418">
        <w:rPr>
          <w:rFonts w:ascii="Arial Narrow" w:hAnsi="Arial Narrow"/>
          <w:b/>
          <w:sz w:val="20"/>
          <w:szCs w:val="20"/>
        </w:rPr>
        <w:t>la regulación en comento no modificará dicho trámite.</w:t>
      </w:r>
    </w:p>
    <w:p w:rsidR="007E215A" w:rsidRPr="008C3C0D" w:rsidRDefault="007E215A" w:rsidP="007E215A">
      <w:pPr>
        <w:rPr>
          <w:rFonts w:ascii="Arial Narrow" w:hAnsi="Arial Narrow"/>
          <w:sz w:val="20"/>
          <w:szCs w:val="20"/>
        </w:rPr>
      </w:pPr>
    </w:p>
    <w:p w:rsidR="00D50A7B" w:rsidRPr="008C3C0D" w:rsidRDefault="00D50A7B" w:rsidP="00D50A7B">
      <w:pPr>
        <w:tabs>
          <w:tab w:val="left" w:pos="1920"/>
        </w:tabs>
        <w:rPr>
          <w:rFonts w:ascii="Arial Narrow" w:hAnsi="Arial Narrow"/>
          <w:sz w:val="20"/>
          <w:szCs w:val="20"/>
        </w:rPr>
      </w:pPr>
      <w:r w:rsidRPr="008C3C0D">
        <w:rPr>
          <w:rFonts w:ascii="Arial Narrow" w:hAnsi="Arial Narrow"/>
          <w:sz w:val="20"/>
          <w:szCs w:val="20"/>
        </w:rPr>
        <w:t>Sin embargo, se identifica el siguiente trámite, que se creará para la correcta implementación de la NOM-001-CRE/SCFI-2018:</w:t>
      </w:r>
    </w:p>
    <w:p w:rsidR="00D50A7B" w:rsidRPr="008C3C0D" w:rsidRDefault="00D50A7B" w:rsidP="00D50A7B">
      <w:pPr>
        <w:tabs>
          <w:tab w:val="left" w:pos="1920"/>
        </w:tabs>
        <w:rPr>
          <w:rFonts w:ascii="Arial Narrow" w:hAnsi="Arial Narrow"/>
          <w:sz w:val="20"/>
          <w:szCs w:val="20"/>
        </w:rPr>
      </w:pPr>
    </w:p>
    <w:p w:rsidR="00D50A7B" w:rsidRPr="00177418" w:rsidRDefault="00D50A7B" w:rsidP="00D50A7B">
      <w:pPr>
        <w:tabs>
          <w:tab w:val="left" w:pos="1920"/>
        </w:tabs>
        <w:ind w:left="708"/>
        <w:rPr>
          <w:rFonts w:ascii="Arial Narrow" w:hAnsi="Arial Narrow"/>
          <w:sz w:val="20"/>
          <w:szCs w:val="20"/>
        </w:rPr>
      </w:pPr>
      <w:r w:rsidRPr="00177418">
        <w:rPr>
          <w:rFonts w:ascii="Arial Narrow" w:hAnsi="Arial Narrow"/>
          <w:b/>
          <w:sz w:val="20"/>
          <w:szCs w:val="20"/>
        </w:rPr>
        <w:t>HOMOCLAVE:</w:t>
      </w:r>
      <w:r w:rsidRPr="00177418">
        <w:rPr>
          <w:rFonts w:ascii="Arial Narrow" w:hAnsi="Arial Narrow"/>
          <w:sz w:val="20"/>
          <w:szCs w:val="20"/>
        </w:rPr>
        <w:t xml:space="preserve"> Por definir</w:t>
      </w:r>
    </w:p>
    <w:p w:rsidR="00D50A7B" w:rsidRPr="008C3C0D" w:rsidRDefault="00D50A7B" w:rsidP="00D50A7B">
      <w:pPr>
        <w:tabs>
          <w:tab w:val="left" w:pos="1920"/>
        </w:tabs>
        <w:ind w:left="708"/>
        <w:rPr>
          <w:rFonts w:ascii="Arial Narrow" w:hAnsi="Arial Narrow"/>
          <w:sz w:val="20"/>
          <w:szCs w:val="20"/>
        </w:rPr>
      </w:pPr>
      <w:r w:rsidRPr="00177418">
        <w:rPr>
          <w:rFonts w:ascii="Arial Narrow" w:hAnsi="Arial Narrow"/>
          <w:b/>
          <w:sz w:val="20"/>
          <w:szCs w:val="20"/>
        </w:rPr>
        <w:t>NOMBRE OFICIAL DEL TRÁMITE O SERVICIO:</w:t>
      </w:r>
      <w:r w:rsidRPr="00177418">
        <w:rPr>
          <w:rFonts w:ascii="Arial Narrow" w:hAnsi="Arial Narrow"/>
          <w:sz w:val="20"/>
          <w:szCs w:val="20"/>
        </w:rPr>
        <w:t xml:space="preserve"> Solicitud de aprobación de organismos de certificación, unidades de verificación o laboratorios de prueba, para evaluar la conformidad de las Normas Oficiales Mexicanas en Materia de Electricidad emitidas por la Comisión Reguladora de Energía y en conjunto con otras dependencias de la Administración Pública Federal.</w:t>
      </w:r>
    </w:p>
    <w:p w:rsidR="00D50A7B" w:rsidRPr="008C3C0D" w:rsidRDefault="00D50A7B" w:rsidP="00D50A7B">
      <w:pPr>
        <w:tabs>
          <w:tab w:val="left" w:pos="1920"/>
        </w:tabs>
        <w:rPr>
          <w:rFonts w:ascii="Arial Narrow" w:hAnsi="Arial Narrow"/>
          <w:sz w:val="20"/>
          <w:szCs w:val="20"/>
        </w:rPr>
      </w:pPr>
    </w:p>
    <w:p w:rsidR="00865D79" w:rsidRPr="008C3C0D" w:rsidRDefault="00177418" w:rsidP="00D50A7B">
      <w:pPr>
        <w:tabs>
          <w:tab w:val="left" w:pos="1920"/>
        </w:tabs>
        <w:rPr>
          <w:rFonts w:ascii="Arial Narrow" w:hAnsi="Arial Narrow"/>
          <w:sz w:val="20"/>
          <w:szCs w:val="20"/>
        </w:rPr>
      </w:pPr>
      <w:r>
        <w:rPr>
          <w:rFonts w:ascii="Arial Narrow" w:hAnsi="Arial Narrow"/>
          <w:sz w:val="20"/>
          <w:szCs w:val="20"/>
        </w:rPr>
        <w:t xml:space="preserve">* </w:t>
      </w:r>
      <w:r w:rsidR="00D50A7B" w:rsidRPr="008C3C0D">
        <w:rPr>
          <w:rFonts w:ascii="Arial Narrow" w:hAnsi="Arial Narrow"/>
          <w:sz w:val="20"/>
          <w:szCs w:val="20"/>
        </w:rPr>
        <w:t xml:space="preserve">Véase documento anexo </w:t>
      </w:r>
      <w:r w:rsidR="006D67CC">
        <w:rPr>
          <w:rFonts w:ascii="Arial Narrow" w:hAnsi="Arial Narrow"/>
          <w:sz w:val="20"/>
          <w:szCs w:val="20"/>
        </w:rPr>
        <w:t>“</w:t>
      </w:r>
      <w:r w:rsidR="006D67CC" w:rsidRPr="006D67CC">
        <w:rPr>
          <w:rFonts w:ascii="Arial Narrow" w:hAnsi="Arial Narrow"/>
          <w:sz w:val="20"/>
          <w:szCs w:val="20"/>
        </w:rPr>
        <w:t xml:space="preserve">Ficha del </w:t>
      </w:r>
      <w:r w:rsidR="00D50A7B" w:rsidRPr="006D67CC">
        <w:rPr>
          <w:rFonts w:ascii="Arial Narrow" w:hAnsi="Arial Narrow"/>
          <w:sz w:val="20"/>
          <w:szCs w:val="20"/>
        </w:rPr>
        <w:t>Trámite</w:t>
      </w:r>
      <w:r w:rsidR="006D67CC" w:rsidRPr="006D67CC">
        <w:rPr>
          <w:rFonts w:ascii="Arial Narrow" w:hAnsi="Arial Narrow"/>
          <w:sz w:val="20"/>
          <w:szCs w:val="20"/>
        </w:rPr>
        <w:t xml:space="preserve"> </w:t>
      </w:r>
      <w:r w:rsidR="00D50A7B" w:rsidRPr="006D67CC">
        <w:rPr>
          <w:rFonts w:ascii="Arial Narrow" w:hAnsi="Arial Narrow"/>
          <w:sz w:val="20"/>
          <w:szCs w:val="20"/>
        </w:rPr>
        <w:t>NOM-001-CRE-SCFI-2018</w:t>
      </w:r>
      <w:r w:rsidR="006D67CC">
        <w:rPr>
          <w:rFonts w:ascii="Arial Narrow" w:hAnsi="Arial Narrow"/>
          <w:sz w:val="20"/>
          <w:szCs w:val="20"/>
        </w:rPr>
        <w:t>”</w:t>
      </w:r>
      <w:r w:rsidR="004E46F0">
        <w:rPr>
          <w:rFonts w:ascii="Arial Narrow" w:hAnsi="Arial Narrow"/>
          <w:sz w:val="20"/>
          <w:szCs w:val="20"/>
        </w:rPr>
        <w:t>, la cual es una propuesta que será modificada y adecuada una vez que se publique la regulación propuesta.</w:t>
      </w:r>
    </w:p>
    <w:p w:rsidR="00865D79" w:rsidRPr="008C3C0D" w:rsidRDefault="00177418" w:rsidP="00A4791C">
      <w:pPr>
        <w:tabs>
          <w:tab w:val="left" w:pos="1920"/>
        </w:tabs>
        <w:rPr>
          <w:rFonts w:ascii="Arial Narrow" w:hAnsi="Arial Narrow"/>
          <w:sz w:val="20"/>
          <w:szCs w:val="20"/>
        </w:rPr>
      </w:pPr>
      <w:r>
        <w:rPr>
          <w:rFonts w:ascii="Arial Narrow" w:hAnsi="Arial Narrow"/>
          <w:sz w:val="20"/>
          <w:szCs w:val="20"/>
        </w:rPr>
        <w:t>* Los costos generados por este trámite ya se han considerado en el replanteamiento de los capítulos 10 y 11 del AIR, incluidos en el “</w:t>
      </w:r>
      <w:r w:rsidRPr="008C3C0D">
        <w:rPr>
          <w:rFonts w:ascii="Arial Narrow" w:hAnsi="Arial Narrow"/>
          <w:sz w:val="20"/>
          <w:szCs w:val="20"/>
        </w:rPr>
        <w:t xml:space="preserve">Anexo </w:t>
      </w:r>
      <w:r>
        <w:rPr>
          <w:rFonts w:ascii="Arial Narrow" w:hAnsi="Arial Narrow"/>
          <w:sz w:val="20"/>
          <w:szCs w:val="20"/>
        </w:rPr>
        <w:t>Capítulos 10 y 11”</w:t>
      </w:r>
      <w:r w:rsidR="006D67CC">
        <w:rPr>
          <w:rFonts w:ascii="Arial Narrow" w:hAnsi="Arial Narrow"/>
          <w:sz w:val="20"/>
          <w:szCs w:val="20"/>
        </w:rPr>
        <w:t>.</w:t>
      </w:r>
    </w:p>
    <w:p w:rsidR="0011132F" w:rsidRDefault="0011132F" w:rsidP="0011132F">
      <w:pPr>
        <w:spacing w:after="0"/>
        <w:ind w:left="1134"/>
        <w:rPr>
          <w:rFonts w:ascii="Arial Narrow" w:hAnsi="Arial Narrow"/>
          <w:b/>
          <w:i/>
          <w:sz w:val="20"/>
          <w:szCs w:val="20"/>
        </w:rPr>
      </w:pPr>
    </w:p>
    <w:p w:rsidR="0011132F" w:rsidRPr="00177418" w:rsidRDefault="0011132F" w:rsidP="0011132F">
      <w:pPr>
        <w:spacing w:after="0"/>
        <w:ind w:left="1134"/>
        <w:rPr>
          <w:rFonts w:ascii="Arial Narrow" w:hAnsi="Arial Narrow"/>
          <w:b/>
          <w:i/>
          <w:sz w:val="20"/>
          <w:szCs w:val="20"/>
        </w:rPr>
      </w:pPr>
      <w:r w:rsidRPr="00177418">
        <w:rPr>
          <w:rFonts w:ascii="Arial Narrow" w:hAnsi="Arial Narrow"/>
          <w:b/>
          <w:i/>
          <w:sz w:val="20"/>
          <w:szCs w:val="20"/>
        </w:rPr>
        <w:t>(</w:t>
      </w:r>
      <w:r>
        <w:rPr>
          <w:rFonts w:ascii="Arial Narrow" w:hAnsi="Arial Narrow"/>
          <w:b/>
          <w:i/>
          <w:sz w:val="20"/>
          <w:szCs w:val="20"/>
        </w:rPr>
        <w:t>Quinta</w:t>
      </w:r>
      <w:r w:rsidRPr="00177418">
        <w:rPr>
          <w:rFonts w:ascii="Arial Narrow" w:hAnsi="Arial Narrow"/>
          <w:b/>
          <w:i/>
          <w:sz w:val="20"/>
          <w:szCs w:val="20"/>
        </w:rPr>
        <w:t xml:space="preserve"> Observación CONAMER)</w:t>
      </w:r>
    </w:p>
    <w:p w:rsidR="005F6503" w:rsidRPr="008C3C0D" w:rsidRDefault="005F6503" w:rsidP="0011132F">
      <w:pPr>
        <w:tabs>
          <w:tab w:val="left" w:pos="7938"/>
        </w:tabs>
        <w:ind w:left="1134" w:right="900"/>
        <w:rPr>
          <w:rFonts w:ascii="Arial Narrow" w:hAnsi="Arial Narrow"/>
          <w:b/>
          <w:i/>
          <w:sz w:val="20"/>
          <w:szCs w:val="20"/>
        </w:rPr>
      </w:pPr>
      <w:r w:rsidRPr="008C3C0D">
        <w:rPr>
          <w:rFonts w:ascii="Arial Narrow" w:hAnsi="Arial Narrow"/>
          <w:b/>
          <w:i/>
          <w:sz w:val="20"/>
          <w:szCs w:val="20"/>
        </w:rPr>
        <w:t>B. Acciones regulatorias</w:t>
      </w:r>
    </w:p>
    <w:p w:rsidR="005F6503" w:rsidRPr="008C3C0D" w:rsidRDefault="005F6503" w:rsidP="0011132F">
      <w:pPr>
        <w:tabs>
          <w:tab w:val="left" w:pos="7938"/>
        </w:tabs>
        <w:ind w:left="1134" w:right="900"/>
        <w:rPr>
          <w:rFonts w:ascii="Arial Narrow" w:hAnsi="Arial Narrow"/>
          <w:i/>
          <w:sz w:val="20"/>
          <w:szCs w:val="20"/>
        </w:rPr>
      </w:pPr>
      <w:r w:rsidRPr="008C3C0D">
        <w:rPr>
          <w:rFonts w:ascii="Arial Narrow" w:hAnsi="Arial Narrow"/>
          <w:i/>
          <w:sz w:val="20"/>
          <w:szCs w:val="20"/>
        </w:rPr>
        <w:t>Para responder la solicitud del numeral 7 del AIR, la cual indica seleccionar las disposiciones, obligaciones y/o acciones distintas a los trámites que correspondan a la propuesta, la CRE en el documento 2019-01-09 AIR NOM Sistemas de Medición.docx, dividió en dos partes su respuesta, en primer lugar, indicó dos acciones regulatorias relativas a: 1. Certificación del medidor y 2. Certificación de los transformadores de medida, para los cuales señaló los requisitos, y el plazo de respuesta.</w:t>
      </w:r>
    </w:p>
    <w:p w:rsidR="005F6503" w:rsidRPr="008C3C0D" w:rsidRDefault="005F6503" w:rsidP="0011132F">
      <w:pPr>
        <w:tabs>
          <w:tab w:val="left" w:pos="7938"/>
        </w:tabs>
        <w:ind w:left="1134" w:right="900"/>
        <w:rPr>
          <w:rFonts w:ascii="Arial Narrow" w:hAnsi="Arial Narrow"/>
          <w:i/>
          <w:sz w:val="20"/>
          <w:szCs w:val="20"/>
        </w:rPr>
      </w:pPr>
    </w:p>
    <w:p w:rsidR="005F6503" w:rsidRPr="008C3C0D" w:rsidRDefault="005F6503" w:rsidP="0011132F">
      <w:pPr>
        <w:pStyle w:val="Prrafodelista"/>
        <w:keepNext/>
        <w:tabs>
          <w:tab w:val="left" w:pos="7938"/>
        </w:tabs>
        <w:spacing w:after="0"/>
        <w:ind w:left="1134" w:right="900"/>
        <w:jc w:val="both"/>
        <w:rPr>
          <w:rFonts w:ascii="Arial Narrow" w:hAnsi="Arial Narrow" w:cs="Arial"/>
          <w:i/>
          <w:sz w:val="20"/>
          <w:szCs w:val="20"/>
        </w:rPr>
      </w:pPr>
      <w:r w:rsidRPr="008C3C0D">
        <w:rPr>
          <w:rFonts w:ascii="Arial Narrow" w:hAnsi="Arial Narrow" w:cs="Arial"/>
          <w:i/>
          <w:sz w:val="20"/>
          <w:szCs w:val="20"/>
        </w:rPr>
        <w:t>Sobre el particular, la CONAMER considera oportuno precisar que la selección que nos ocupa hace referencia a las disposiciones, obligaciones y/o acciones distintas a trámites, por lo cual es necesario que la CRE identifique las acciones regulatorias 1 y 2 en la sección del numeral 6, incluyéndolas como creación de dos nuevos trámites con la información correspondiente que se solicita en el mismo.</w:t>
      </w:r>
    </w:p>
    <w:p w:rsidR="00F41956" w:rsidRPr="008C3C0D" w:rsidRDefault="00F41956" w:rsidP="0011132F">
      <w:pPr>
        <w:pStyle w:val="Prrafodelista"/>
        <w:keepNext/>
        <w:tabs>
          <w:tab w:val="left" w:pos="7938"/>
        </w:tabs>
        <w:spacing w:after="0"/>
        <w:ind w:left="1134" w:right="900"/>
        <w:jc w:val="both"/>
        <w:rPr>
          <w:rFonts w:ascii="Arial Narrow" w:hAnsi="Arial Narrow" w:cs="Arial"/>
          <w:i/>
          <w:sz w:val="20"/>
          <w:szCs w:val="20"/>
        </w:rPr>
      </w:pPr>
      <w:r w:rsidRPr="008C3C0D">
        <w:rPr>
          <w:rFonts w:ascii="Arial Narrow" w:hAnsi="Arial Narrow" w:cs="Arial"/>
          <w:i/>
          <w:sz w:val="20"/>
          <w:szCs w:val="20"/>
        </w:rPr>
        <w:t>(sic)</w:t>
      </w:r>
    </w:p>
    <w:p w:rsidR="00F60AAE" w:rsidRPr="008C3C0D" w:rsidRDefault="00F60AAE" w:rsidP="00A4791C">
      <w:pPr>
        <w:tabs>
          <w:tab w:val="left" w:pos="1920"/>
        </w:tabs>
        <w:rPr>
          <w:rFonts w:ascii="Arial Narrow" w:hAnsi="Arial Narrow"/>
          <w:sz w:val="20"/>
          <w:szCs w:val="20"/>
        </w:rPr>
      </w:pPr>
    </w:p>
    <w:p w:rsidR="00C46D8B" w:rsidRPr="008C3C0D" w:rsidRDefault="00C46D8B" w:rsidP="00C46D8B">
      <w:pPr>
        <w:tabs>
          <w:tab w:val="left" w:pos="1920"/>
        </w:tabs>
        <w:rPr>
          <w:rFonts w:ascii="Arial Narrow" w:hAnsi="Arial Narrow"/>
          <w:sz w:val="20"/>
          <w:szCs w:val="20"/>
        </w:rPr>
      </w:pPr>
      <w:r w:rsidRPr="008C3C0D">
        <w:rPr>
          <w:rFonts w:ascii="Arial Narrow" w:hAnsi="Arial Narrow"/>
          <w:sz w:val="20"/>
          <w:szCs w:val="20"/>
        </w:rPr>
        <w:t xml:space="preserve">Respecto a la inclusión de las acciones regulatorias “certificación del medidor” y “certificación del transformador de medida” en el </w:t>
      </w:r>
      <w:r w:rsidRPr="0011132F">
        <w:rPr>
          <w:rFonts w:ascii="Arial Narrow" w:hAnsi="Arial Narrow"/>
          <w:i/>
          <w:sz w:val="20"/>
          <w:szCs w:val="20"/>
        </w:rPr>
        <w:t xml:space="preserve">numeral 6. ¿La regulación propuesta crea, modifica o elimina trámites? </w:t>
      </w:r>
      <w:r w:rsidR="0011132F">
        <w:rPr>
          <w:rFonts w:ascii="Arial Narrow" w:hAnsi="Arial Narrow"/>
          <w:sz w:val="20"/>
          <w:szCs w:val="20"/>
        </w:rPr>
        <w:t>del AIR, s</w:t>
      </w:r>
      <w:r w:rsidRPr="008C3C0D">
        <w:rPr>
          <w:rFonts w:ascii="Arial Narrow" w:hAnsi="Arial Narrow"/>
          <w:sz w:val="20"/>
          <w:szCs w:val="20"/>
        </w:rPr>
        <w:t xml:space="preserve">e clarifica que </w:t>
      </w:r>
      <w:r w:rsidRPr="0011132F">
        <w:rPr>
          <w:rFonts w:ascii="Arial Narrow" w:hAnsi="Arial Narrow"/>
          <w:b/>
          <w:sz w:val="20"/>
          <w:szCs w:val="20"/>
        </w:rPr>
        <w:t>esas acciones regulatorias, como tal, no implican un trámite ante la autoridad</w:t>
      </w:r>
      <w:r w:rsidRPr="008C3C0D">
        <w:rPr>
          <w:rFonts w:ascii="Arial Narrow" w:hAnsi="Arial Narrow"/>
          <w:sz w:val="20"/>
          <w:szCs w:val="20"/>
        </w:rPr>
        <w:t xml:space="preserve">, toda vez que la certificación tanto del medidor como del transformador de medida se realizarán en Organismos de Certificación de Producto, las cuales son instituciones privadas. </w:t>
      </w:r>
    </w:p>
    <w:p w:rsidR="00C46D8B" w:rsidRPr="008C3C0D" w:rsidRDefault="00C46D8B" w:rsidP="00C46D8B">
      <w:pPr>
        <w:tabs>
          <w:tab w:val="left" w:pos="1920"/>
        </w:tabs>
        <w:rPr>
          <w:rFonts w:ascii="Arial Narrow" w:hAnsi="Arial Narrow"/>
          <w:sz w:val="20"/>
          <w:szCs w:val="20"/>
        </w:rPr>
      </w:pPr>
    </w:p>
    <w:p w:rsidR="00C46D8B" w:rsidRPr="008C3C0D" w:rsidRDefault="00C46D8B" w:rsidP="00C46D8B">
      <w:pPr>
        <w:tabs>
          <w:tab w:val="left" w:pos="1920"/>
        </w:tabs>
        <w:rPr>
          <w:rFonts w:ascii="Arial Narrow" w:hAnsi="Arial Narrow"/>
          <w:i/>
          <w:sz w:val="20"/>
          <w:szCs w:val="20"/>
        </w:rPr>
      </w:pPr>
      <w:r w:rsidRPr="008C3C0D">
        <w:rPr>
          <w:rFonts w:ascii="Arial Narrow" w:hAnsi="Arial Narrow"/>
          <w:sz w:val="20"/>
          <w:szCs w:val="20"/>
        </w:rPr>
        <w:t xml:space="preserve">Sin embargo, se considera que las acciones regulatorias mencionadas, solo crean un trámite, el cual corresponde a la aprobación de organismos de certificación para evaluar la conformidad, para este en particular, de la NOM-001-CRE/SCFI-2018, el cual ya se agregó al numeral en comento. </w:t>
      </w:r>
      <w:r w:rsidRPr="0011132F">
        <w:rPr>
          <w:rFonts w:ascii="Arial Narrow" w:hAnsi="Arial Narrow"/>
          <w:sz w:val="20"/>
          <w:szCs w:val="20"/>
        </w:rPr>
        <w:t xml:space="preserve">Véase </w:t>
      </w:r>
      <w:r w:rsidR="0011132F" w:rsidRPr="0011132F">
        <w:rPr>
          <w:rFonts w:ascii="Arial Narrow" w:hAnsi="Arial Narrow"/>
          <w:sz w:val="20"/>
          <w:szCs w:val="20"/>
        </w:rPr>
        <w:t>“</w:t>
      </w:r>
      <w:r w:rsidR="00FD79F4" w:rsidRPr="0011132F">
        <w:rPr>
          <w:rFonts w:ascii="Arial Narrow" w:hAnsi="Arial Narrow"/>
          <w:i/>
          <w:sz w:val="20"/>
          <w:szCs w:val="20"/>
        </w:rPr>
        <w:t xml:space="preserve">Respuesta </w:t>
      </w:r>
      <w:r w:rsidR="0011132F" w:rsidRPr="0011132F">
        <w:rPr>
          <w:rFonts w:ascii="Arial Narrow" w:hAnsi="Arial Narrow"/>
          <w:i/>
          <w:sz w:val="20"/>
          <w:szCs w:val="20"/>
        </w:rPr>
        <w:t>a la Cuarta Observación CONAMER”</w:t>
      </w:r>
      <w:r w:rsidR="00FD79F4" w:rsidRPr="0011132F">
        <w:rPr>
          <w:rFonts w:ascii="Arial Narrow" w:hAnsi="Arial Narrow"/>
          <w:i/>
          <w:sz w:val="20"/>
          <w:szCs w:val="20"/>
        </w:rPr>
        <w:t>.</w:t>
      </w:r>
    </w:p>
    <w:p w:rsidR="0011132F" w:rsidRDefault="0011132F" w:rsidP="0011132F">
      <w:pPr>
        <w:spacing w:after="0"/>
        <w:ind w:left="1134"/>
        <w:rPr>
          <w:rFonts w:ascii="Arial Narrow" w:hAnsi="Arial Narrow"/>
          <w:b/>
          <w:i/>
          <w:sz w:val="20"/>
          <w:szCs w:val="20"/>
        </w:rPr>
      </w:pPr>
    </w:p>
    <w:p w:rsidR="0011132F" w:rsidRPr="00177418" w:rsidRDefault="0011132F" w:rsidP="0011132F">
      <w:pPr>
        <w:spacing w:after="0"/>
        <w:ind w:left="1134"/>
        <w:rPr>
          <w:rFonts w:ascii="Arial Narrow" w:hAnsi="Arial Narrow"/>
          <w:b/>
          <w:i/>
          <w:sz w:val="20"/>
          <w:szCs w:val="20"/>
        </w:rPr>
      </w:pPr>
      <w:r w:rsidRPr="00177418">
        <w:rPr>
          <w:rFonts w:ascii="Arial Narrow" w:hAnsi="Arial Narrow"/>
          <w:b/>
          <w:i/>
          <w:sz w:val="20"/>
          <w:szCs w:val="20"/>
        </w:rPr>
        <w:t>(</w:t>
      </w:r>
      <w:r>
        <w:rPr>
          <w:rFonts w:ascii="Arial Narrow" w:hAnsi="Arial Narrow"/>
          <w:b/>
          <w:i/>
          <w:sz w:val="20"/>
          <w:szCs w:val="20"/>
        </w:rPr>
        <w:t>Sexta</w:t>
      </w:r>
      <w:r w:rsidRPr="00177418">
        <w:rPr>
          <w:rFonts w:ascii="Arial Narrow" w:hAnsi="Arial Narrow"/>
          <w:b/>
          <w:i/>
          <w:sz w:val="20"/>
          <w:szCs w:val="20"/>
        </w:rPr>
        <w:t xml:space="preserve"> Observación CONAMER)</w:t>
      </w:r>
    </w:p>
    <w:p w:rsidR="00400681" w:rsidRPr="008C3C0D" w:rsidRDefault="00400681" w:rsidP="0011132F">
      <w:pPr>
        <w:spacing w:after="160"/>
        <w:ind w:left="1134" w:right="900"/>
        <w:rPr>
          <w:rFonts w:ascii="Arial Narrow" w:hAnsi="Arial Narrow"/>
          <w:b/>
          <w:i/>
          <w:sz w:val="20"/>
          <w:szCs w:val="20"/>
        </w:rPr>
      </w:pPr>
      <w:r w:rsidRPr="008C3C0D">
        <w:rPr>
          <w:rFonts w:ascii="Arial Narrow" w:hAnsi="Arial Narrow"/>
          <w:b/>
          <w:i/>
          <w:sz w:val="20"/>
          <w:szCs w:val="20"/>
        </w:rPr>
        <w:t>D. Análisis Costo – Beneficio</w:t>
      </w:r>
    </w:p>
    <w:p w:rsidR="00400681" w:rsidRPr="008C3C0D" w:rsidRDefault="00400681" w:rsidP="0011132F">
      <w:pPr>
        <w:spacing w:after="160"/>
        <w:ind w:left="1134" w:right="900"/>
        <w:rPr>
          <w:rFonts w:ascii="Arial Narrow" w:hAnsi="Arial Narrow"/>
          <w:i/>
          <w:sz w:val="20"/>
          <w:szCs w:val="20"/>
        </w:rPr>
      </w:pPr>
      <w:r w:rsidRPr="008C3C0D">
        <w:rPr>
          <w:rFonts w:ascii="Arial Narrow" w:hAnsi="Arial Narrow"/>
          <w:i/>
          <w:sz w:val="20"/>
          <w:szCs w:val="20"/>
        </w:rPr>
        <w:t>Para determinar el impacto de la regulación propuesta la CRE incluye el análisis costo-beneficio con información diversa que esta Comisión resume de la manera siguiente:</w:t>
      </w:r>
    </w:p>
    <w:p w:rsidR="00400681" w:rsidRPr="008C3C0D" w:rsidRDefault="00400681" w:rsidP="0011132F">
      <w:pPr>
        <w:spacing w:after="0"/>
        <w:ind w:left="1134" w:right="900"/>
        <w:rPr>
          <w:rFonts w:ascii="Arial Narrow" w:hAnsi="Arial Narrow"/>
          <w:i/>
          <w:sz w:val="20"/>
          <w:szCs w:val="20"/>
        </w:rPr>
      </w:pPr>
      <w:r w:rsidRPr="008C3C0D">
        <w:rPr>
          <w:rFonts w:ascii="Arial Narrow" w:hAnsi="Arial Narrow"/>
          <w:i/>
          <w:sz w:val="20"/>
          <w:szCs w:val="20"/>
        </w:rPr>
        <w:t>De los costos. - Toda vez que la estimación económica de los costos de cumplimiento de la propuesta regulatoria están totalmente vinculados con e</w:t>
      </w:r>
      <w:r w:rsidRPr="00E644A2">
        <w:rPr>
          <w:rFonts w:ascii="Arial Narrow" w:hAnsi="Arial Narrow"/>
          <w:i/>
          <w:sz w:val="20"/>
          <w:szCs w:val="20"/>
        </w:rPr>
        <w:t>l cumplimiento del Artículo Quinto del Acuerdo Presidencial, se hace necesario remitir a la CRE a las observaciones ya señaladas en la sección I. Consideraciones respecto al requerimiento</w:t>
      </w:r>
      <w:r w:rsidRPr="008C3C0D">
        <w:rPr>
          <w:rFonts w:ascii="Arial Narrow" w:hAnsi="Arial Narrow"/>
          <w:i/>
          <w:sz w:val="20"/>
          <w:szCs w:val="20"/>
        </w:rPr>
        <w:t xml:space="preserve"> de simplificación regulatoria, del presente Dictamen para que sean atendidas por esa Comisión de manera integral.</w:t>
      </w:r>
    </w:p>
    <w:p w:rsidR="00F41956" w:rsidRPr="008C3C0D" w:rsidRDefault="00F41956" w:rsidP="0011132F">
      <w:pPr>
        <w:spacing w:after="160"/>
        <w:ind w:left="1134" w:right="900"/>
        <w:rPr>
          <w:rFonts w:ascii="Arial Narrow" w:hAnsi="Arial Narrow"/>
          <w:i/>
          <w:sz w:val="20"/>
          <w:szCs w:val="20"/>
        </w:rPr>
      </w:pPr>
      <w:r w:rsidRPr="008C3C0D">
        <w:rPr>
          <w:rFonts w:ascii="Arial Narrow" w:hAnsi="Arial Narrow"/>
          <w:i/>
          <w:sz w:val="20"/>
          <w:szCs w:val="20"/>
        </w:rPr>
        <w:lastRenderedPageBreak/>
        <w:t>(sic)</w:t>
      </w:r>
    </w:p>
    <w:p w:rsidR="00400681" w:rsidRPr="008C3C0D" w:rsidRDefault="00E644A2" w:rsidP="0011132F">
      <w:pPr>
        <w:spacing w:after="160"/>
        <w:ind w:right="900"/>
        <w:rPr>
          <w:rFonts w:ascii="Arial Narrow" w:hAnsi="Arial Narrow"/>
          <w:sz w:val="20"/>
          <w:szCs w:val="20"/>
        </w:rPr>
      </w:pPr>
      <w:r>
        <w:rPr>
          <w:rFonts w:ascii="Arial Narrow" w:hAnsi="Arial Narrow"/>
          <w:sz w:val="20"/>
          <w:szCs w:val="20"/>
        </w:rPr>
        <w:t xml:space="preserve">En atención a las observaciones </w:t>
      </w:r>
      <w:r w:rsidRPr="008C3C0D">
        <w:rPr>
          <w:rFonts w:ascii="Arial Narrow" w:hAnsi="Arial Narrow"/>
          <w:sz w:val="20"/>
          <w:szCs w:val="20"/>
        </w:rPr>
        <w:t xml:space="preserve">formuladas por la CONAMER, </w:t>
      </w:r>
      <w:r>
        <w:rPr>
          <w:rFonts w:ascii="Arial Narrow" w:hAnsi="Arial Narrow"/>
          <w:sz w:val="20"/>
          <w:szCs w:val="20"/>
        </w:rPr>
        <w:t>la C</w:t>
      </w:r>
      <w:r w:rsidR="0011132F" w:rsidRPr="008C3C0D">
        <w:rPr>
          <w:rFonts w:ascii="Arial Narrow" w:hAnsi="Arial Narrow"/>
          <w:sz w:val="20"/>
          <w:szCs w:val="20"/>
        </w:rPr>
        <w:t>RE considera oportuno replantear los capítulos 10 y 11 de AIR</w:t>
      </w:r>
      <w:r w:rsidR="0011132F">
        <w:rPr>
          <w:rFonts w:ascii="Arial Narrow" w:hAnsi="Arial Narrow"/>
          <w:sz w:val="20"/>
          <w:szCs w:val="20"/>
        </w:rPr>
        <w:t>; asimismo, lo referente al cumplimiento del Artículo Quinto del Acuerdo Presidencial se replantea en la respuesta a la “</w:t>
      </w:r>
      <w:r w:rsidR="0011132F" w:rsidRPr="00177418">
        <w:rPr>
          <w:rFonts w:ascii="Arial Narrow" w:hAnsi="Arial Narrow"/>
          <w:i/>
          <w:sz w:val="20"/>
          <w:szCs w:val="20"/>
        </w:rPr>
        <w:t>Primera Observación</w:t>
      </w:r>
      <w:r w:rsidR="0011132F">
        <w:rPr>
          <w:rFonts w:ascii="Arial Narrow" w:hAnsi="Arial Narrow"/>
          <w:i/>
          <w:sz w:val="20"/>
          <w:szCs w:val="20"/>
        </w:rPr>
        <w:t xml:space="preserve"> CONAMER”,</w:t>
      </w:r>
      <w:r w:rsidR="0011132F" w:rsidRPr="00177418">
        <w:rPr>
          <w:rFonts w:ascii="Arial Narrow" w:hAnsi="Arial Narrow"/>
          <w:sz w:val="20"/>
          <w:szCs w:val="20"/>
        </w:rPr>
        <w:t xml:space="preserve"> incluida en el presente documento. </w:t>
      </w:r>
      <w:r w:rsidR="0011132F">
        <w:rPr>
          <w:rFonts w:ascii="Arial Narrow" w:hAnsi="Arial Narrow"/>
          <w:sz w:val="20"/>
          <w:szCs w:val="20"/>
        </w:rPr>
        <w:t>Véase “</w:t>
      </w:r>
      <w:r w:rsidR="0011132F" w:rsidRPr="008C3C0D">
        <w:rPr>
          <w:rFonts w:ascii="Arial Narrow" w:hAnsi="Arial Narrow"/>
          <w:sz w:val="20"/>
          <w:szCs w:val="20"/>
        </w:rPr>
        <w:t xml:space="preserve">Anexo </w:t>
      </w:r>
      <w:r w:rsidR="0011132F">
        <w:rPr>
          <w:rFonts w:ascii="Arial Narrow" w:hAnsi="Arial Narrow"/>
          <w:sz w:val="20"/>
          <w:szCs w:val="20"/>
        </w:rPr>
        <w:t>Capítulos 10 y 11”.</w:t>
      </w:r>
    </w:p>
    <w:p w:rsidR="0010084F" w:rsidRPr="008C3C0D" w:rsidRDefault="0010084F" w:rsidP="000D47BB">
      <w:pPr>
        <w:tabs>
          <w:tab w:val="left" w:pos="142"/>
        </w:tabs>
        <w:spacing w:after="0"/>
        <w:rPr>
          <w:rFonts w:ascii="Arial Narrow" w:hAnsi="Arial Narrow"/>
          <w:sz w:val="20"/>
          <w:szCs w:val="20"/>
        </w:rPr>
      </w:pPr>
    </w:p>
    <w:p w:rsidR="0011132F" w:rsidRPr="00177418" w:rsidRDefault="0011132F" w:rsidP="0011132F">
      <w:pPr>
        <w:spacing w:after="0"/>
        <w:ind w:left="1134"/>
        <w:rPr>
          <w:rFonts w:ascii="Arial Narrow" w:hAnsi="Arial Narrow"/>
          <w:b/>
          <w:i/>
          <w:sz w:val="20"/>
          <w:szCs w:val="20"/>
        </w:rPr>
      </w:pPr>
      <w:r w:rsidRPr="00177418">
        <w:rPr>
          <w:rFonts w:ascii="Arial Narrow" w:hAnsi="Arial Narrow"/>
          <w:b/>
          <w:i/>
          <w:sz w:val="20"/>
          <w:szCs w:val="20"/>
        </w:rPr>
        <w:t>(</w:t>
      </w:r>
      <w:r>
        <w:rPr>
          <w:rFonts w:ascii="Arial Narrow" w:hAnsi="Arial Narrow"/>
          <w:b/>
          <w:i/>
          <w:sz w:val="20"/>
          <w:szCs w:val="20"/>
        </w:rPr>
        <w:t>Séptima</w:t>
      </w:r>
      <w:r w:rsidRPr="00177418">
        <w:rPr>
          <w:rFonts w:ascii="Arial Narrow" w:hAnsi="Arial Narrow"/>
          <w:b/>
          <w:i/>
          <w:sz w:val="20"/>
          <w:szCs w:val="20"/>
        </w:rPr>
        <w:t xml:space="preserve"> Observación CONAMER)</w:t>
      </w:r>
    </w:p>
    <w:p w:rsidR="005C12F1" w:rsidRPr="008C3C0D" w:rsidRDefault="005C12F1" w:rsidP="0011132F">
      <w:pPr>
        <w:spacing w:after="0"/>
        <w:ind w:left="1134" w:right="900" w:hanging="1"/>
        <w:rPr>
          <w:rFonts w:ascii="Arial Narrow" w:hAnsi="Arial Narrow"/>
          <w:b/>
          <w:i/>
          <w:sz w:val="20"/>
          <w:szCs w:val="20"/>
        </w:rPr>
      </w:pPr>
      <w:r w:rsidRPr="008C3C0D">
        <w:rPr>
          <w:rFonts w:ascii="Arial Narrow" w:hAnsi="Arial Narrow"/>
          <w:b/>
          <w:i/>
          <w:sz w:val="20"/>
          <w:szCs w:val="20"/>
        </w:rPr>
        <w:t>D. Análisis Costo – Beneficio</w:t>
      </w:r>
    </w:p>
    <w:p w:rsidR="005C12F1" w:rsidRPr="008C3C0D" w:rsidRDefault="005C12F1" w:rsidP="0011132F">
      <w:pPr>
        <w:spacing w:after="0"/>
        <w:ind w:left="1134" w:right="900" w:hanging="1"/>
        <w:rPr>
          <w:rFonts w:ascii="Arial Narrow" w:hAnsi="Arial Narrow"/>
          <w:b/>
          <w:i/>
          <w:sz w:val="20"/>
          <w:szCs w:val="20"/>
        </w:rPr>
      </w:pPr>
      <w:r w:rsidRPr="008C3C0D">
        <w:rPr>
          <w:rFonts w:ascii="Arial Narrow" w:hAnsi="Arial Narrow"/>
          <w:b/>
          <w:i/>
          <w:sz w:val="20"/>
          <w:szCs w:val="20"/>
        </w:rPr>
        <w:t>(…)</w:t>
      </w:r>
    </w:p>
    <w:p w:rsidR="005C12F1" w:rsidRPr="008C3C0D" w:rsidRDefault="005C12F1" w:rsidP="0011132F">
      <w:pPr>
        <w:spacing w:after="0"/>
        <w:ind w:left="1134" w:right="900" w:hanging="1"/>
        <w:rPr>
          <w:rFonts w:ascii="Arial Narrow" w:hAnsi="Arial Narrow"/>
          <w:b/>
          <w:i/>
          <w:sz w:val="20"/>
          <w:szCs w:val="20"/>
        </w:rPr>
      </w:pPr>
    </w:p>
    <w:p w:rsidR="00F41956" w:rsidRPr="008C3C0D" w:rsidRDefault="005C12F1" w:rsidP="0011132F">
      <w:pPr>
        <w:keepNext/>
        <w:spacing w:after="0"/>
        <w:ind w:left="1134" w:right="900" w:hanging="1"/>
        <w:rPr>
          <w:rFonts w:ascii="Arial Narrow" w:hAnsi="Arial Narrow"/>
          <w:i/>
          <w:sz w:val="20"/>
          <w:szCs w:val="20"/>
        </w:rPr>
      </w:pPr>
      <w:r w:rsidRPr="008C3C0D">
        <w:rPr>
          <w:rFonts w:ascii="Arial Narrow" w:hAnsi="Arial Narrow"/>
          <w:i/>
          <w:sz w:val="20"/>
          <w:szCs w:val="20"/>
        </w:rPr>
        <w:t>De igual forma, y debido a que en el numeral 6 del formulario del AIR la CONAMER identificó una modificación en el plazo de respuesta del trámite Aprobación del Modelo o Prototipo de Instrumentos de Medición y Patrones Sujetos a NOM previa a su Comercialización con homoclave SE-04-004, de 10 a 15 días hábiles es necesario que la CRE realice la estimación económica correspondiente y lo sume a los costos ya identificados</w:t>
      </w:r>
    </w:p>
    <w:p w:rsidR="00D076BE" w:rsidRPr="008C3C0D" w:rsidRDefault="00F41956" w:rsidP="0011132F">
      <w:pPr>
        <w:keepNext/>
        <w:spacing w:after="0"/>
        <w:ind w:left="1134" w:right="900" w:hanging="1"/>
        <w:rPr>
          <w:rFonts w:ascii="Arial Narrow" w:hAnsi="Arial Narrow"/>
          <w:i/>
          <w:sz w:val="20"/>
          <w:szCs w:val="20"/>
        </w:rPr>
      </w:pPr>
      <w:r w:rsidRPr="008C3C0D">
        <w:rPr>
          <w:rFonts w:ascii="Arial Narrow" w:hAnsi="Arial Narrow"/>
          <w:i/>
          <w:sz w:val="20"/>
          <w:szCs w:val="20"/>
        </w:rPr>
        <w:t>(sic)</w:t>
      </w:r>
      <w:r w:rsidR="005C12F1" w:rsidRPr="008C3C0D">
        <w:rPr>
          <w:rFonts w:ascii="Arial Narrow" w:hAnsi="Arial Narrow"/>
          <w:i/>
          <w:sz w:val="20"/>
          <w:szCs w:val="20"/>
        </w:rPr>
        <w:t>.</w:t>
      </w:r>
    </w:p>
    <w:p w:rsidR="00D076BE" w:rsidRPr="008C3C0D" w:rsidRDefault="00D076BE" w:rsidP="00D076BE">
      <w:pPr>
        <w:keepNext/>
        <w:rPr>
          <w:rFonts w:ascii="Arial Narrow" w:hAnsi="Arial Narrow"/>
          <w:b/>
          <w:sz w:val="20"/>
          <w:szCs w:val="20"/>
        </w:rPr>
      </w:pPr>
    </w:p>
    <w:p w:rsidR="006719E4" w:rsidRPr="008C3C0D" w:rsidRDefault="00A3541E" w:rsidP="00A3541E">
      <w:pPr>
        <w:keepNext/>
        <w:rPr>
          <w:rFonts w:ascii="Arial Narrow" w:hAnsi="Arial Narrow"/>
          <w:sz w:val="20"/>
          <w:szCs w:val="20"/>
        </w:rPr>
      </w:pPr>
      <w:r w:rsidRPr="008C3C0D">
        <w:rPr>
          <w:rFonts w:ascii="Arial Narrow" w:hAnsi="Arial Narrow"/>
          <w:sz w:val="20"/>
          <w:szCs w:val="20"/>
        </w:rPr>
        <w:t>Como se comentó</w:t>
      </w:r>
      <w:r w:rsidR="0011132F">
        <w:rPr>
          <w:rFonts w:ascii="Arial Narrow" w:hAnsi="Arial Narrow"/>
          <w:sz w:val="20"/>
          <w:szCs w:val="20"/>
        </w:rPr>
        <w:t xml:space="preserve"> previamente</w:t>
      </w:r>
      <w:r w:rsidRPr="008C3C0D">
        <w:rPr>
          <w:rFonts w:ascii="Arial Narrow" w:hAnsi="Arial Narrow"/>
          <w:sz w:val="20"/>
          <w:szCs w:val="20"/>
        </w:rPr>
        <w:t>, el tiempo de respuesta para el trámite SE-04-004 será de 10 días hábiles, por lo que, al no existir alguna modificación, no se generan costos adicionales.</w:t>
      </w:r>
      <w:r w:rsidR="00E644A2">
        <w:rPr>
          <w:rFonts w:ascii="Arial Narrow" w:hAnsi="Arial Narrow"/>
          <w:sz w:val="20"/>
          <w:szCs w:val="20"/>
        </w:rPr>
        <w:t xml:space="preserve"> </w:t>
      </w:r>
      <w:r w:rsidR="0011132F">
        <w:rPr>
          <w:rFonts w:ascii="Arial Narrow" w:hAnsi="Arial Narrow"/>
          <w:sz w:val="20"/>
          <w:szCs w:val="20"/>
        </w:rPr>
        <w:t xml:space="preserve">Véase </w:t>
      </w:r>
      <w:r w:rsidR="0011132F" w:rsidRPr="0011132F">
        <w:rPr>
          <w:rFonts w:ascii="Arial Narrow" w:hAnsi="Arial Narrow"/>
          <w:b/>
          <w:i/>
          <w:sz w:val="20"/>
          <w:szCs w:val="20"/>
        </w:rPr>
        <w:t>“Cuarta Observación CONAMER”</w:t>
      </w:r>
    </w:p>
    <w:p w:rsidR="0010084F" w:rsidRPr="008C3C0D" w:rsidRDefault="0010084F" w:rsidP="00A3541E">
      <w:pPr>
        <w:keepNext/>
        <w:rPr>
          <w:rFonts w:ascii="Arial Narrow" w:hAnsi="Arial Narrow"/>
          <w:sz w:val="20"/>
          <w:szCs w:val="20"/>
        </w:rPr>
      </w:pPr>
    </w:p>
    <w:p w:rsidR="00BC7B70" w:rsidRPr="00177418" w:rsidRDefault="00BC7B70" w:rsidP="00BC7B70">
      <w:pPr>
        <w:spacing w:after="0"/>
        <w:ind w:left="1134"/>
        <w:rPr>
          <w:rFonts w:ascii="Arial Narrow" w:hAnsi="Arial Narrow"/>
          <w:b/>
          <w:i/>
          <w:sz w:val="20"/>
          <w:szCs w:val="20"/>
        </w:rPr>
      </w:pPr>
      <w:r w:rsidRPr="00177418">
        <w:rPr>
          <w:rFonts w:ascii="Arial Narrow" w:hAnsi="Arial Narrow"/>
          <w:b/>
          <w:i/>
          <w:sz w:val="20"/>
          <w:szCs w:val="20"/>
        </w:rPr>
        <w:t>(</w:t>
      </w:r>
      <w:r>
        <w:rPr>
          <w:rFonts w:ascii="Arial Narrow" w:hAnsi="Arial Narrow"/>
          <w:b/>
          <w:i/>
          <w:sz w:val="20"/>
          <w:szCs w:val="20"/>
        </w:rPr>
        <w:t>Octava</w:t>
      </w:r>
      <w:r w:rsidRPr="00177418">
        <w:rPr>
          <w:rFonts w:ascii="Arial Narrow" w:hAnsi="Arial Narrow"/>
          <w:b/>
          <w:i/>
          <w:sz w:val="20"/>
          <w:szCs w:val="20"/>
        </w:rPr>
        <w:t xml:space="preserve"> Observación CONAMER)</w:t>
      </w:r>
    </w:p>
    <w:p w:rsidR="0010084F" w:rsidRPr="008C3C0D" w:rsidRDefault="0010084F" w:rsidP="00BC7B70">
      <w:pPr>
        <w:spacing w:after="0"/>
        <w:ind w:left="1134" w:right="900"/>
        <w:rPr>
          <w:rFonts w:ascii="Arial Narrow" w:hAnsi="Arial Narrow"/>
          <w:i/>
          <w:sz w:val="20"/>
          <w:szCs w:val="20"/>
        </w:rPr>
      </w:pPr>
      <w:r w:rsidRPr="008C3C0D">
        <w:rPr>
          <w:rFonts w:ascii="Arial Narrow" w:hAnsi="Arial Narrow"/>
          <w:i/>
          <w:sz w:val="20"/>
          <w:szCs w:val="20"/>
        </w:rPr>
        <w:t>De los beneficios: Es necesario que la CRE estime los beneficios de manera agregada, toda vez que la aproximación económica la realiza de manera unitaria.</w:t>
      </w:r>
    </w:p>
    <w:p w:rsidR="0059091E" w:rsidRPr="008C3C0D" w:rsidRDefault="0059091E" w:rsidP="00BC7B70">
      <w:pPr>
        <w:spacing w:after="0"/>
        <w:ind w:left="1134" w:right="900"/>
        <w:rPr>
          <w:rFonts w:ascii="Arial Narrow" w:hAnsi="Arial Narrow"/>
          <w:i/>
          <w:sz w:val="20"/>
          <w:szCs w:val="20"/>
        </w:rPr>
      </w:pPr>
      <w:r w:rsidRPr="008C3C0D">
        <w:rPr>
          <w:rFonts w:ascii="Arial Narrow" w:hAnsi="Arial Narrow"/>
          <w:i/>
          <w:sz w:val="20"/>
          <w:szCs w:val="20"/>
        </w:rPr>
        <w:t>Finalmente, una vez que ese Órgano Regulador lleve a cabo el análisis integral de los costos y beneficios que implica la emisión del instrumento regulatorio indique de manera expresa e beneficio neto del impacto de la regulación.</w:t>
      </w:r>
    </w:p>
    <w:p w:rsidR="00F41956" w:rsidRPr="008C3C0D" w:rsidRDefault="00F41956" w:rsidP="00BC7B70">
      <w:pPr>
        <w:spacing w:after="0"/>
        <w:ind w:left="1134" w:right="900"/>
        <w:rPr>
          <w:rFonts w:ascii="Arial Narrow" w:hAnsi="Arial Narrow"/>
          <w:i/>
          <w:sz w:val="20"/>
          <w:szCs w:val="20"/>
        </w:rPr>
      </w:pPr>
      <w:r w:rsidRPr="008C3C0D">
        <w:rPr>
          <w:rFonts w:ascii="Arial Narrow" w:hAnsi="Arial Narrow"/>
          <w:i/>
          <w:sz w:val="20"/>
          <w:szCs w:val="20"/>
        </w:rPr>
        <w:t>(sic)</w:t>
      </w:r>
    </w:p>
    <w:p w:rsidR="00E644A2" w:rsidRDefault="00E644A2" w:rsidP="00BC7B70">
      <w:pPr>
        <w:spacing w:after="160"/>
        <w:ind w:right="49"/>
        <w:rPr>
          <w:rFonts w:ascii="Arial Narrow" w:hAnsi="Arial Narrow"/>
          <w:sz w:val="20"/>
          <w:szCs w:val="20"/>
        </w:rPr>
      </w:pPr>
    </w:p>
    <w:p w:rsidR="00BC7B70" w:rsidRPr="008C3C0D" w:rsidRDefault="00E644A2" w:rsidP="00BC7B70">
      <w:pPr>
        <w:spacing w:after="160"/>
        <w:ind w:right="49"/>
        <w:rPr>
          <w:rFonts w:ascii="Arial Narrow" w:hAnsi="Arial Narrow"/>
          <w:sz w:val="20"/>
          <w:szCs w:val="20"/>
        </w:rPr>
      </w:pPr>
      <w:r>
        <w:rPr>
          <w:rFonts w:ascii="Arial Narrow" w:hAnsi="Arial Narrow"/>
          <w:sz w:val="20"/>
          <w:szCs w:val="20"/>
        </w:rPr>
        <w:t>En atención a las observaciones formuladas por la CONAMER</w:t>
      </w:r>
      <w:r w:rsidR="00BC7B70" w:rsidRPr="008C3C0D">
        <w:rPr>
          <w:rFonts w:ascii="Arial Narrow" w:hAnsi="Arial Narrow"/>
          <w:sz w:val="20"/>
          <w:szCs w:val="20"/>
        </w:rPr>
        <w:t>, la CRE considera oportuno replantear los capítulos 10 y 11 de AIR</w:t>
      </w:r>
      <w:r w:rsidR="00BC7B70">
        <w:rPr>
          <w:rFonts w:ascii="Arial Narrow" w:hAnsi="Arial Narrow"/>
          <w:sz w:val="20"/>
          <w:szCs w:val="20"/>
        </w:rPr>
        <w:t>; en dicho replanteamiento se integran los costos de manera agregada y se lleva a cabo el análisis integral de los costos y beneficios que implica la regulación propuesta</w:t>
      </w:r>
      <w:r w:rsidR="00BC7B70" w:rsidRPr="00177418">
        <w:rPr>
          <w:rFonts w:ascii="Arial Narrow" w:hAnsi="Arial Narrow"/>
          <w:sz w:val="20"/>
          <w:szCs w:val="20"/>
        </w:rPr>
        <w:t xml:space="preserve">. </w:t>
      </w:r>
      <w:r w:rsidR="00BC7B70">
        <w:rPr>
          <w:rFonts w:ascii="Arial Narrow" w:hAnsi="Arial Narrow"/>
          <w:sz w:val="20"/>
          <w:szCs w:val="20"/>
        </w:rPr>
        <w:t>Véase “</w:t>
      </w:r>
      <w:r w:rsidR="00BC7B70" w:rsidRPr="008C3C0D">
        <w:rPr>
          <w:rFonts w:ascii="Arial Narrow" w:hAnsi="Arial Narrow"/>
          <w:sz w:val="20"/>
          <w:szCs w:val="20"/>
        </w:rPr>
        <w:t xml:space="preserve">Anexo </w:t>
      </w:r>
      <w:r w:rsidR="00BC7B70">
        <w:rPr>
          <w:rFonts w:ascii="Arial Narrow" w:hAnsi="Arial Narrow"/>
          <w:sz w:val="20"/>
          <w:szCs w:val="20"/>
        </w:rPr>
        <w:t>Capítulos 10 y 11”.</w:t>
      </w:r>
    </w:p>
    <w:p w:rsidR="00F41956" w:rsidRDefault="00F41956" w:rsidP="00BC7B70">
      <w:pPr>
        <w:spacing w:after="0"/>
        <w:rPr>
          <w:rFonts w:ascii="Arial Narrow" w:hAnsi="Arial Narrow"/>
          <w:sz w:val="20"/>
          <w:szCs w:val="20"/>
        </w:rPr>
      </w:pPr>
    </w:p>
    <w:p w:rsidR="00E644A2" w:rsidRDefault="00E644A2" w:rsidP="00BC7B70">
      <w:pPr>
        <w:spacing w:after="0"/>
        <w:rPr>
          <w:rFonts w:ascii="Arial Narrow" w:hAnsi="Arial Narrow"/>
          <w:sz w:val="20"/>
          <w:szCs w:val="20"/>
        </w:rPr>
      </w:pPr>
    </w:p>
    <w:p w:rsidR="00E644A2" w:rsidRDefault="00E644A2" w:rsidP="00BC7B70">
      <w:pPr>
        <w:spacing w:after="0"/>
        <w:rPr>
          <w:rFonts w:ascii="Arial Narrow" w:hAnsi="Arial Narrow"/>
          <w:sz w:val="20"/>
          <w:szCs w:val="20"/>
        </w:rPr>
      </w:pPr>
    </w:p>
    <w:p w:rsidR="00E644A2" w:rsidRDefault="00E644A2" w:rsidP="00BC7B70">
      <w:pPr>
        <w:spacing w:after="0"/>
        <w:rPr>
          <w:rFonts w:ascii="Arial Narrow" w:hAnsi="Arial Narrow"/>
          <w:sz w:val="20"/>
          <w:szCs w:val="20"/>
        </w:rPr>
      </w:pPr>
    </w:p>
    <w:p w:rsidR="00A22611" w:rsidRPr="00177418" w:rsidRDefault="00A22611" w:rsidP="00A22611">
      <w:pPr>
        <w:spacing w:after="0"/>
        <w:ind w:left="1134"/>
        <w:rPr>
          <w:rFonts w:ascii="Arial Narrow" w:hAnsi="Arial Narrow"/>
          <w:b/>
          <w:i/>
          <w:sz w:val="20"/>
          <w:szCs w:val="20"/>
        </w:rPr>
      </w:pPr>
      <w:r w:rsidRPr="00177418">
        <w:rPr>
          <w:rFonts w:ascii="Arial Narrow" w:hAnsi="Arial Narrow"/>
          <w:b/>
          <w:i/>
          <w:sz w:val="20"/>
          <w:szCs w:val="20"/>
        </w:rPr>
        <w:t>(</w:t>
      </w:r>
      <w:r w:rsidR="00E644A2">
        <w:rPr>
          <w:rFonts w:ascii="Arial Narrow" w:hAnsi="Arial Narrow"/>
          <w:b/>
          <w:i/>
          <w:sz w:val="20"/>
          <w:szCs w:val="20"/>
        </w:rPr>
        <w:t>Novena</w:t>
      </w:r>
      <w:r w:rsidRPr="00177418">
        <w:rPr>
          <w:rFonts w:ascii="Arial Narrow" w:hAnsi="Arial Narrow"/>
          <w:b/>
          <w:i/>
          <w:sz w:val="20"/>
          <w:szCs w:val="20"/>
        </w:rPr>
        <w:t xml:space="preserve"> Observación CONAMER)</w:t>
      </w:r>
    </w:p>
    <w:p w:rsidR="00A416A1" w:rsidRPr="008C3C0D" w:rsidRDefault="00A416A1" w:rsidP="00A416A1">
      <w:pPr>
        <w:spacing w:after="0"/>
        <w:rPr>
          <w:rFonts w:ascii="Arial Narrow" w:hAnsi="Arial Narrow"/>
          <w:sz w:val="20"/>
          <w:szCs w:val="20"/>
        </w:rPr>
      </w:pPr>
    </w:p>
    <w:p w:rsidR="00A416A1" w:rsidRPr="008C3C0D" w:rsidRDefault="00A416A1" w:rsidP="00A22611">
      <w:pPr>
        <w:spacing w:after="0"/>
        <w:ind w:left="1134"/>
        <w:rPr>
          <w:rFonts w:ascii="Arial Narrow" w:hAnsi="Arial Narrow"/>
          <w:b/>
          <w:sz w:val="20"/>
          <w:szCs w:val="20"/>
        </w:rPr>
      </w:pPr>
      <w:r w:rsidRPr="008C3C0D">
        <w:rPr>
          <w:rFonts w:ascii="Arial Narrow" w:hAnsi="Arial Narrow"/>
          <w:b/>
          <w:i/>
          <w:sz w:val="20"/>
          <w:szCs w:val="20"/>
        </w:rPr>
        <w:t>VI</w:t>
      </w:r>
      <w:r w:rsidRPr="008C3C0D">
        <w:rPr>
          <w:rFonts w:ascii="Arial Narrow" w:hAnsi="Arial Narrow"/>
          <w:b/>
          <w:sz w:val="20"/>
          <w:szCs w:val="20"/>
        </w:rPr>
        <w:t>.</w:t>
      </w:r>
      <w:r w:rsidRPr="008C3C0D">
        <w:rPr>
          <w:rFonts w:ascii="Arial Narrow" w:hAnsi="Arial Narrow"/>
          <w:b/>
          <w:sz w:val="20"/>
          <w:szCs w:val="20"/>
        </w:rPr>
        <w:tab/>
      </w:r>
      <w:r w:rsidRPr="008C3C0D">
        <w:rPr>
          <w:rFonts w:ascii="Arial Narrow" w:hAnsi="Arial Narrow"/>
          <w:b/>
          <w:i/>
          <w:sz w:val="20"/>
          <w:szCs w:val="20"/>
        </w:rPr>
        <w:t>Cumplimiento y aplicación de la propuesta.</w:t>
      </w:r>
    </w:p>
    <w:p w:rsidR="00A416A1" w:rsidRPr="008C3C0D" w:rsidRDefault="00A416A1" w:rsidP="00A22611">
      <w:pPr>
        <w:spacing w:after="0"/>
        <w:ind w:left="1134" w:right="900"/>
        <w:rPr>
          <w:rFonts w:ascii="Arial Narrow" w:hAnsi="Arial Narrow"/>
          <w:b/>
          <w:i/>
          <w:sz w:val="20"/>
          <w:szCs w:val="20"/>
        </w:rPr>
      </w:pPr>
      <w:r w:rsidRPr="008C3C0D">
        <w:rPr>
          <w:rFonts w:ascii="Arial Narrow" w:hAnsi="Arial Narrow"/>
          <w:b/>
          <w:i/>
          <w:sz w:val="20"/>
          <w:szCs w:val="20"/>
        </w:rPr>
        <w:t>(…)</w:t>
      </w:r>
    </w:p>
    <w:p w:rsidR="00A416A1" w:rsidRPr="008C3C0D" w:rsidRDefault="00A416A1" w:rsidP="00A22611">
      <w:pPr>
        <w:pStyle w:val="Prrafodelista"/>
        <w:keepNext/>
        <w:spacing w:after="0" w:line="240" w:lineRule="auto"/>
        <w:ind w:left="1134" w:right="900"/>
        <w:jc w:val="both"/>
        <w:rPr>
          <w:rFonts w:ascii="Arial Narrow" w:hAnsi="Arial Narrow" w:cs="Arial"/>
          <w:i/>
          <w:sz w:val="20"/>
          <w:szCs w:val="20"/>
        </w:rPr>
      </w:pPr>
      <w:r w:rsidRPr="008C3C0D">
        <w:rPr>
          <w:rFonts w:ascii="Arial Narrow" w:hAnsi="Arial Narrow" w:cs="Arial"/>
          <w:i/>
          <w:sz w:val="20"/>
          <w:szCs w:val="20"/>
        </w:rPr>
        <w:t>Con base en la respuesta de la CRE, esta Comisión considera parcialmente atendido el numeral en comento toda vez que con base en el contenido del anteproyecto, hubiese resultado recomendable que ese Órgano Regulador abundara sobre la intervención que tendrá en la aplicación del instrumento regulatorio de las autoridades que vigilarán el cumplimiento de la NOM, se cita como ejemplo, la aprobación que aplica la gestión que llevará a cabo la SE para la aprobación del modelo o prototipo del medidor o del transformador de medida, según corresponda, para validar el diseño con base en las especificaciones de la norma oficial mexicana así como la intervención no menos importante que tendrá la Procuraduría Federal del Consumidor para asegurar su cumplimiento.</w:t>
      </w:r>
    </w:p>
    <w:p w:rsidR="00F41956" w:rsidRPr="008C3C0D" w:rsidRDefault="00F41956" w:rsidP="00A22611">
      <w:pPr>
        <w:pStyle w:val="Prrafodelista"/>
        <w:keepNext/>
        <w:spacing w:after="0" w:line="240" w:lineRule="auto"/>
        <w:ind w:left="1134" w:right="900"/>
        <w:jc w:val="both"/>
        <w:rPr>
          <w:rFonts w:ascii="Arial Narrow" w:hAnsi="Arial Narrow" w:cs="Arial"/>
          <w:i/>
          <w:sz w:val="20"/>
          <w:szCs w:val="20"/>
        </w:rPr>
      </w:pPr>
      <w:r w:rsidRPr="008C3C0D">
        <w:rPr>
          <w:rFonts w:ascii="Arial Narrow" w:hAnsi="Arial Narrow" w:cs="Arial"/>
          <w:i/>
          <w:sz w:val="20"/>
          <w:szCs w:val="20"/>
        </w:rPr>
        <w:t>(sic)</w:t>
      </w:r>
    </w:p>
    <w:p w:rsidR="0059091E" w:rsidRPr="008C3C0D" w:rsidRDefault="0059091E" w:rsidP="0059091E">
      <w:pPr>
        <w:pStyle w:val="Prrafodelista"/>
        <w:keepNext/>
        <w:spacing w:after="0" w:line="240" w:lineRule="auto"/>
        <w:ind w:left="0"/>
        <w:rPr>
          <w:rFonts w:ascii="Arial Narrow" w:hAnsi="Arial Narrow" w:cs="Arial"/>
          <w:b/>
          <w:sz w:val="20"/>
          <w:szCs w:val="20"/>
          <w:u w:val="single"/>
        </w:rPr>
      </w:pPr>
      <w:r w:rsidRPr="008C3C0D">
        <w:rPr>
          <w:rFonts w:ascii="Arial Narrow" w:hAnsi="Arial Narrow" w:cs="Arial"/>
          <w:b/>
          <w:sz w:val="20"/>
          <w:szCs w:val="20"/>
          <w:u w:val="single"/>
        </w:rPr>
        <w:t xml:space="preserve"> </w:t>
      </w:r>
    </w:p>
    <w:p w:rsidR="00942010" w:rsidRPr="008C3C0D" w:rsidRDefault="00942010" w:rsidP="00C64CAE">
      <w:pPr>
        <w:spacing w:after="0"/>
        <w:rPr>
          <w:rFonts w:ascii="Arial Narrow" w:hAnsi="Arial Narrow"/>
          <w:b/>
          <w:sz w:val="20"/>
          <w:szCs w:val="20"/>
          <w:u w:val="single"/>
        </w:rPr>
      </w:pPr>
    </w:p>
    <w:p w:rsidR="00C64CAE" w:rsidRPr="008C3C0D" w:rsidRDefault="00C64CAE" w:rsidP="00C64CAE">
      <w:pPr>
        <w:pStyle w:val="Texto"/>
        <w:spacing w:after="20" w:line="240" w:lineRule="auto"/>
        <w:ind w:firstLine="0"/>
        <w:rPr>
          <w:rFonts w:ascii="Arial Narrow" w:hAnsi="Arial Narrow"/>
          <w:sz w:val="20"/>
        </w:rPr>
      </w:pPr>
      <w:r w:rsidRPr="008C3C0D">
        <w:rPr>
          <w:rFonts w:ascii="Arial Narrow" w:hAnsi="Arial Narrow"/>
          <w:sz w:val="20"/>
        </w:rPr>
        <w:lastRenderedPageBreak/>
        <w:t>Respecto a la solicitud de la CONAMER de complementar la información proporcionada en el</w:t>
      </w:r>
      <w:r w:rsidRPr="008C3C0D">
        <w:rPr>
          <w:rFonts w:ascii="Arial Narrow" w:hAnsi="Arial Narrow"/>
          <w:i/>
          <w:sz w:val="20"/>
        </w:rPr>
        <w:t xml:space="preserve"> numeral IV.- CUMPLIMIENTO Y APLICACION DE LA PROPUESTA 12. Describa la forma y/o los mecanismos a través de los cuales se implementará la regulación (incluya recursos públicos)</w:t>
      </w:r>
      <w:r w:rsidRPr="008C3C0D">
        <w:rPr>
          <w:rFonts w:ascii="Arial Narrow" w:hAnsi="Arial Narrow"/>
          <w:sz w:val="20"/>
        </w:rPr>
        <w:t>, se hace de su conocimiento lo siguiente:</w:t>
      </w:r>
    </w:p>
    <w:p w:rsidR="00C64CAE" w:rsidRPr="008C3C0D" w:rsidRDefault="00C64CAE" w:rsidP="00C64CAE">
      <w:pPr>
        <w:pStyle w:val="Texto"/>
        <w:spacing w:after="20" w:line="240" w:lineRule="auto"/>
        <w:ind w:firstLine="0"/>
        <w:rPr>
          <w:rFonts w:ascii="Arial Narrow" w:hAnsi="Arial Narrow"/>
          <w:sz w:val="20"/>
        </w:rPr>
      </w:pPr>
    </w:p>
    <w:p w:rsidR="00C64CAE" w:rsidRPr="008C3C0D" w:rsidRDefault="00C64CAE" w:rsidP="00C64CAE">
      <w:pPr>
        <w:pStyle w:val="Texto"/>
        <w:spacing w:after="20" w:line="240" w:lineRule="auto"/>
        <w:ind w:firstLine="0"/>
        <w:rPr>
          <w:rFonts w:ascii="Arial Narrow" w:hAnsi="Arial Narrow"/>
          <w:sz w:val="20"/>
        </w:rPr>
      </w:pPr>
      <w:r w:rsidRPr="008C3C0D">
        <w:rPr>
          <w:rFonts w:ascii="Arial Narrow" w:hAnsi="Arial Narrow"/>
          <w:sz w:val="20"/>
        </w:rPr>
        <w:t>Tanto la Secretaría de Economía (SE) como la Comisión Reguladora de Energía (CRE), cuentan con la suficiencia presupuestal para el ejercicio de sus atribuciones, entre las cuales, para la implementación de la regulación se realizará lo siguiente:</w:t>
      </w:r>
    </w:p>
    <w:p w:rsidR="00C64CAE" w:rsidRPr="008C3C0D" w:rsidRDefault="00C64CAE" w:rsidP="00C64CAE">
      <w:pPr>
        <w:pStyle w:val="Texto"/>
        <w:spacing w:after="20" w:line="240" w:lineRule="auto"/>
        <w:ind w:firstLine="0"/>
        <w:rPr>
          <w:rFonts w:ascii="Arial Narrow" w:hAnsi="Arial Narrow"/>
          <w:sz w:val="20"/>
        </w:rPr>
      </w:pPr>
    </w:p>
    <w:p w:rsidR="00C64CAE" w:rsidRPr="008C3C0D" w:rsidRDefault="00C64CAE" w:rsidP="00C64CAE">
      <w:pPr>
        <w:pStyle w:val="Texto"/>
        <w:numPr>
          <w:ilvl w:val="0"/>
          <w:numId w:val="21"/>
        </w:numPr>
        <w:spacing w:after="20" w:line="240" w:lineRule="auto"/>
        <w:rPr>
          <w:rFonts w:ascii="Arial Narrow" w:hAnsi="Arial Narrow"/>
          <w:sz w:val="20"/>
        </w:rPr>
      </w:pPr>
      <w:r w:rsidRPr="008C3C0D">
        <w:rPr>
          <w:rFonts w:ascii="Arial Narrow" w:hAnsi="Arial Narrow"/>
          <w:b/>
          <w:sz w:val="20"/>
        </w:rPr>
        <w:t>SE y CRE</w:t>
      </w:r>
      <w:r w:rsidRPr="008C3C0D">
        <w:rPr>
          <w:rFonts w:ascii="Arial Narrow" w:hAnsi="Arial Narrow"/>
          <w:sz w:val="20"/>
        </w:rPr>
        <w:t xml:space="preserve">: </w:t>
      </w:r>
    </w:p>
    <w:p w:rsidR="00C64CAE" w:rsidRPr="008C3C0D" w:rsidRDefault="00C64CAE" w:rsidP="00E644A2">
      <w:pPr>
        <w:pStyle w:val="Texto"/>
        <w:numPr>
          <w:ilvl w:val="0"/>
          <w:numId w:val="22"/>
        </w:numPr>
        <w:spacing w:after="20" w:line="240" w:lineRule="auto"/>
        <w:ind w:left="851"/>
        <w:rPr>
          <w:rFonts w:ascii="Arial Narrow" w:hAnsi="Arial Narrow"/>
          <w:sz w:val="20"/>
        </w:rPr>
      </w:pPr>
      <w:r w:rsidRPr="008C3C0D">
        <w:rPr>
          <w:rFonts w:ascii="Arial Narrow" w:hAnsi="Arial Narrow"/>
          <w:sz w:val="20"/>
          <w:u w:val="single"/>
        </w:rPr>
        <w:t>Publicar la convocatoria para aprobar</w:t>
      </w:r>
      <w:r w:rsidRPr="008C3C0D">
        <w:rPr>
          <w:rFonts w:ascii="Arial Narrow" w:hAnsi="Arial Narrow"/>
          <w:sz w:val="20"/>
        </w:rPr>
        <w:t xml:space="preserve"> a los laboratorios de prueba, organismos de certificación y unidades de verificación que realizarán actividades para la evaluación de la conformidad de la NOM-001-CRE/SCFI-2018. (Artículo 70, fracción I de la Ley Federal sobre Metrología y Normalización)</w:t>
      </w:r>
    </w:p>
    <w:p w:rsidR="00C64CAE" w:rsidRPr="008C3C0D" w:rsidRDefault="00C64CAE" w:rsidP="00E644A2">
      <w:pPr>
        <w:pStyle w:val="Texto"/>
        <w:numPr>
          <w:ilvl w:val="0"/>
          <w:numId w:val="22"/>
        </w:numPr>
        <w:spacing w:after="20" w:line="240" w:lineRule="auto"/>
        <w:ind w:left="851"/>
        <w:rPr>
          <w:rFonts w:ascii="Arial Narrow" w:hAnsi="Arial Narrow"/>
          <w:sz w:val="20"/>
        </w:rPr>
      </w:pPr>
      <w:r w:rsidRPr="008C3C0D">
        <w:rPr>
          <w:rFonts w:ascii="Arial Narrow" w:hAnsi="Arial Narrow"/>
          <w:sz w:val="20"/>
          <w:u w:val="single"/>
        </w:rPr>
        <w:t>Aprobar</w:t>
      </w:r>
      <w:r w:rsidRPr="008C3C0D">
        <w:rPr>
          <w:rFonts w:ascii="Arial Narrow" w:hAnsi="Arial Narrow"/>
          <w:sz w:val="20"/>
        </w:rPr>
        <w:t xml:space="preserve"> a los laboratorios de prueba, organismos de certificación y unidades de verificación que realizarán actividades para la evaluación de la conformidad de la NOM-001-CRE/SCFI-2018. (Artículo 38, fracción VI de la LFMN)</w:t>
      </w:r>
    </w:p>
    <w:p w:rsidR="00C85E68" w:rsidRPr="008C3C0D" w:rsidRDefault="00C85E68" w:rsidP="00E644A2">
      <w:pPr>
        <w:pStyle w:val="Texto"/>
        <w:spacing w:after="20" w:line="240" w:lineRule="auto"/>
        <w:ind w:left="851" w:firstLine="0"/>
        <w:rPr>
          <w:rFonts w:ascii="Arial Narrow" w:hAnsi="Arial Narrow"/>
          <w:sz w:val="20"/>
        </w:rPr>
      </w:pPr>
    </w:p>
    <w:p w:rsidR="00C64CAE" w:rsidRPr="008C3C0D" w:rsidRDefault="00C64CAE" w:rsidP="00E644A2">
      <w:pPr>
        <w:pStyle w:val="Texto"/>
        <w:numPr>
          <w:ilvl w:val="0"/>
          <w:numId w:val="21"/>
        </w:numPr>
        <w:spacing w:after="20" w:line="240" w:lineRule="auto"/>
        <w:ind w:left="851"/>
        <w:rPr>
          <w:rFonts w:ascii="Arial Narrow" w:hAnsi="Arial Narrow"/>
          <w:sz w:val="20"/>
        </w:rPr>
      </w:pPr>
      <w:r w:rsidRPr="008C3C0D">
        <w:rPr>
          <w:rFonts w:ascii="Arial Narrow" w:hAnsi="Arial Narrow"/>
          <w:b/>
          <w:sz w:val="20"/>
        </w:rPr>
        <w:t>SE:</w:t>
      </w:r>
      <w:r w:rsidRPr="008C3C0D">
        <w:rPr>
          <w:rFonts w:ascii="Arial Narrow" w:hAnsi="Arial Narrow"/>
          <w:sz w:val="20"/>
        </w:rPr>
        <w:t xml:space="preserve"> </w:t>
      </w:r>
    </w:p>
    <w:p w:rsidR="00C64CAE" w:rsidRPr="008C3C0D" w:rsidRDefault="00C64CAE" w:rsidP="00E644A2">
      <w:pPr>
        <w:pStyle w:val="Texto"/>
        <w:numPr>
          <w:ilvl w:val="0"/>
          <w:numId w:val="22"/>
        </w:numPr>
        <w:spacing w:after="20" w:line="240" w:lineRule="auto"/>
        <w:ind w:left="851"/>
        <w:rPr>
          <w:rFonts w:ascii="Arial Narrow" w:hAnsi="Arial Narrow"/>
          <w:sz w:val="20"/>
        </w:rPr>
      </w:pPr>
      <w:r w:rsidRPr="008C3C0D">
        <w:rPr>
          <w:rFonts w:ascii="Arial Narrow" w:hAnsi="Arial Narrow"/>
          <w:sz w:val="20"/>
          <w:u w:val="single"/>
        </w:rPr>
        <w:t>Realizar</w:t>
      </w:r>
      <w:r w:rsidRPr="008C3C0D">
        <w:rPr>
          <w:rFonts w:ascii="Arial Narrow" w:hAnsi="Arial Narrow"/>
          <w:sz w:val="20"/>
        </w:rPr>
        <w:t xml:space="preserve"> la </w:t>
      </w:r>
      <w:r w:rsidRPr="008C3C0D">
        <w:rPr>
          <w:rFonts w:ascii="Arial Narrow" w:hAnsi="Arial Narrow"/>
          <w:sz w:val="20"/>
          <w:u w:val="single"/>
        </w:rPr>
        <w:t xml:space="preserve">aprobación del modelo o prototipo </w:t>
      </w:r>
      <w:r w:rsidRPr="008C3C0D">
        <w:rPr>
          <w:rFonts w:ascii="Arial Narrow" w:hAnsi="Arial Narrow"/>
          <w:sz w:val="20"/>
        </w:rPr>
        <w:t>de los medidores y transformadores de medida con la NOM-001-CRE/SCFI-2018. (Artículo 10 de la LFMN).</w:t>
      </w:r>
    </w:p>
    <w:p w:rsidR="004C4907" w:rsidRPr="008C3C0D" w:rsidRDefault="004C4907" w:rsidP="00E644A2">
      <w:pPr>
        <w:pStyle w:val="Texto"/>
        <w:spacing w:after="20" w:line="240" w:lineRule="auto"/>
        <w:ind w:left="851" w:firstLine="0"/>
        <w:rPr>
          <w:rFonts w:ascii="Arial Narrow" w:hAnsi="Arial Narrow"/>
          <w:sz w:val="20"/>
        </w:rPr>
      </w:pPr>
    </w:p>
    <w:p w:rsidR="00C64CAE" w:rsidRPr="008C3C0D" w:rsidRDefault="00C64CAE" w:rsidP="00E644A2">
      <w:pPr>
        <w:pStyle w:val="Texto"/>
        <w:numPr>
          <w:ilvl w:val="0"/>
          <w:numId w:val="21"/>
        </w:numPr>
        <w:spacing w:after="20" w:line="240" w:lineRule="auto"/>
        <w:ind w:left="851"/>
        <w:rPr>
          <w:rFonts w:ascii="Arial Narrow" w:hAnsi="Arial Narrow"/>
          <w:sz w:val="20"/>
        </w:rPr>
      </w:pPr>
      <w:r w:rsidRPr="008C3C0D">
        <w:rPr>
          <w:rFonts w:ascii="Arial Narrow" w:hAnsi="Arial Narrow"/>
          <w:b/>
          <w:sz w:val="20"/>
        </w:rPr>
        <w:t>CRE</w:t>
      </w:r>
      <w:r w:rsidRPr="008C3C0D">
        <w:rPr>
          <w:rFonts w:ascii="Arial Narrow" w:hAnsi="Arial Narrow"/>
          <w:sz w:val="20"/>
        </w:rPr>
        <w:t xml:space="preserve">: </w:t>
      </w:r>
    </w:p>
    <w:p w:rsidR="00C64CAE" w:rsidRPr="008C3C0D" w:rsidRDefault="00C64CAE" w:rsidP="00E644A2">
      <w:pPr>
        <w:pStyle w:val="Texto"/>
        <w:numPr>
          <w:ilvl w:val="0"/>
          <w:numId w:val="22"/>
        </w:numPr>
        <w:spacing w:after="20" w:line="240" w:lineRule="auto"/>
        <w:ind w:left="851"/>
        <w:rPr>
          <w:rFonts w:ascii="Arial Narrow" w:hAnsi="Arial Narrow"/>
          <w:sz w:val="20"/>
        </w:rPr>
      </w:pPr>
      <w:r w:rsidRPr="008C3C0D">
        <w:rPr>
          <w:rFonts w:ascii="Arial Narrow" w:hAnsi="Arial Narrow"/>
          <w:sz w:val="20"/>
          <w:u w:val="single"/>
        </w:rPr>
        <w:t>Vigilar</w:t>
      </w:r>
      <w:r w:rsidRPr="008C3C0D">
        <w:rPr>
          <w:rFonts w:ascii="Arial Narrow" w:hAnsi="Arial Narrow"/>
          <w:sz w:val="20"/>
        </w:rPr>
        <w:t xml:space="preserve"> el cumplimiento del artículo 113 de la Ley de la Industria Eléctrica (LIE), que señala que </w:t>
      </w:r>
      <w:r w:rsidRPr="008C3C0D">
        <w:rPr>
          <w:rFonts w:ascii="Arial Narrow" w:hAnsi="Arial Narrow"/>
          <w:sz w:val="20"/>
          <w:u w:val="single"/>
        </w:rPr>
        <w:t>los Transportistas y Distribuidores deberán usar e instalar únicamente instrumentos de medición que hayan obtenido una aprobación de modelo prototipo</w:t>
      </w:r>
      <w:r w:rsidRPr="008C3C0D">
        <w:rPr>
          <w:rFonts w:ascii="Arial Narrow" w:hAnsi="Arial Narrow"/>
          <w:sz w:val="20"/>
        </w:rPr>
        <w:t xml:space="preserve"> conforme a lo dispuesto por la Ley Federal sobre Metrología y Normalización y la norma oficial mexicana correspondiente, asimismo establece que </w:t>
      </w:r>
      <w:r w:rsidRPr="008C3C0D">
        <w:rPr>
          <w:rFonts w:ascii="Arial Narrow" w:hAnsi="Arial Narrow"/>
          <w:sz w:val="20"/>
          <w:u w:val="single"/>
        </w:rPr>
        <w:t>los Transportistas y Distribuidores deberán verificar a través de unidades de verificación acreditadas y aprobadas, cuando menos una vez cada tres años, los instrumentos de medición instalados</w:t>
      </w:r>
      <w:r w:rsidRPr="008C3C0D">
        <w:rPr>
          <w:rFonts w:ascii="Arial Narrow" w:hAnsi="Arial Narrow"/>
          <w:sz w:val="20"/>
        </w:rPr>
        <w:t xml:space="preserve"> para asegurar que se ajusten a la exactitud establecida en la norma oficial mexicana”.</w:t>
      </w:r>
    </w:p>
    <w:p w:rsidR="00C64CAE" w:rsidRPr="008C3C0D" w:rsidRDefault="00C64CAE" w:rsidP="00E644A2">
      <w:pPr>
        <w:pStyle w:val="Texto"/>
        <w:numPr>
          <w:ilvl w:val="0"/>
          <w:numId w:val="21"/>
        </w:numPr>
        <w:spacing w:after="20" w:line="240" w:lineRule="auto"/>
        <w:ind w:left="851"/>
        <w:rPr>
          <w:rFonts w:ascii="Arial Narrow" w:hAnsi="Arial Narrow"/>
          <w:sz w:val="20"/>
        </w:rPr>
      </w:pPr>
      <w:r w:rsidRPr="008C3C0D">
        <w:rPr>
          <w:rFonts w:ascii="Arial Narrow" w:hAnsi="Arial Narrow"/>
          <w:b/>
          <w:sz w:val="20"/>
        </w:rPr>
        <w:t>CRE Y PROFECO</w:t>
      </w:r>
      <w:r w:rsidRPr="008C3C0D">
        <w:rPr>
          <w:rFonts w:ascii="Arial Narrow" w:hAnsi="Arial Narrow"/>
          <w:sz w:val="20"/>
        </w:rPr>
        <w:t xml:space="preserve">: </w:t>
      </w:r>
    </w:p>
    <w:p w:rsidR="00C64CAE" w:rsidRPr="008C3C0D" w:rsidRDefault="00C64CAE" w:rsidP="00E644A2">
      <w:pPr>
        <w:pStyle w:val="Texto"/>
        <w:numPr>
          <w:ilvl w:val="0"/>
          <w:numId w:val="22"/>
        </w:numPr>
        <w:spacing w:after="20" w:line="240" w:lineRule="auto"/>
        <w:ind w:left="851"/>
        <w:rPr>
          <w:rFonts w:ascii="Arial Narrow" w:hAnsi="Arial Narrow"/>
          <w:sz w:val="20"/>
        </w:rPr>
      </w:pPr>
      <w:r w:rsidRPr="008C3C0D">
        <w:rPr>
          <w:rFonts w:ascii="Arial Narrow" w:hAnsi="Arial Narrow"/>
          <w:sz w:val="20"/>
        </w:rPr>
        <w:t xml:space="preserve">Atender las quejas en materia de medición, que se indican en el artículo 121 del Reglamento de la LIE, el cual señala que cuando existan </w:t>
      </w:r>
      <w:r w:rsidRPr="008C3C0D">
        <w:rPr>
          <w:rFonts w:ascii="Arial Narrow" w:hAnsi="Arial Narrow"/>
          <w:sz w:val="20"/>
          <w:u w:val="single"/>
        </w:rPr>
        <w:t>quejas con respecto a la medición</w:t>
      </w:r>
      <w:r w:rsidRPr="008C3C0D">
        <w:rPr>
          <w:rFonts w:ascii="Arial Narrow" w:hAnsi="Arial Narrow"/>
          <w:sz w:val="20"/>
        </w:rPr>
        <w:t xml:space="preserve">, las lecturas de los medidores que el Usuario Final hubiera instalado para verificar las mediciones del equipo del Suministrador o del que le instaló el Transportista o Distribuidor por cuenta del Suministrador podrán ser consideradas como elementos de juicio para la CRE o la Procuraduría Federal del Consumidor, según sea el caso, si así lo consideran adecuado, siempre y cuando las lecturas de los medidores no alteren el debido funcionamiento de los equipos instalados por el Suministrador. Dichas autoridades podrán solicitar que una unidad de verificación debidamente acreditada realice una revisión de los medidores instalados por el Suministrador. Al emitir su resolución sobre la queja, la CRE o la Procuraduría Federal del Consumidor, según corresponda, determinarán que el que no tenga la razón deberá pagar el costo de la verificación. </w:t>
      </w:r>
    </w:p>
    <w:p w:rsidR="00C64CAE" w:rsidRPr="008C3C0D" w:rsidRDefault="00C64CAE" w:rsidP="00E644A2">
      <w:pPr>
        <w:pStyle w:val="Texto"/>
        <w:numPr>
          <w:ilvl w:val="0"/>
          <w:numId w:val="21"/>
        </w:numPr>
        <w:spacing w:after="20" w:line="240" w:lineRule="auto"/>
        <w:ind w:left="851"/>
        <w:rPr>
          <w:rFonts w:ascii="Arial Narrow" w:hAnsi="Arial Narrow"/>
          <w:b/>
          <w:sz w:val="20"/>
        </w:rPr>
      </w:pPr>
      <w:r w:rsidRPr="008C3C0D">
        <w:rPr>
          <w:rFonts w:ascii="Arial Narrow" w:hAnsi="Arial Narrow"/>
          <w:b/>
          <w:sz w:val="20"/>
        </w:rPr>
        <w:t>PROFECO:</w:t>
      </w:r>
    </w:p>
    <w:p w:rsidR="00C64CAE" w:rsidRPr="008C3C0D" w:rsidRDefault="00C64CAE" w:rsidP="00E644A2">
      <w:pPr>
        <w:spacing w:after="0"/>
        <w:ind w:left="851"/>
        <w:rPr>
          <w:rFonts w:ascii="Arial Narrow" w:hAnsi="Arial Narrow"/>
          <w:sz w:val="20"/>
          <w:szCs w:val="20"/>
        </w:rPr>
      </w:pPr>
      <w:r w:rsidRPr="008C3C0D">
        <w:rPr>
          <w:rFonts w:ascii="Arial Narrow" w:hAnsi="Arial Narrow"/>
          <w:sz w:val="20"/>
          <w:szCs w:val="20"/>
        </w:rPr>
        <w:t xml:space="preserve">Conforme al Artículo 24 de la Ley de Protección al Consumidor, fracción XIV bis. </w:t>
      </w:r>
      <w:r w:rsidRPr="008C3C0D">
        <w:rPr>
          <w:rFonts w:ascii="Arial Narrow" w:hAnsi="Arial Narrow"/>
          <w:sz w:val="20"/>
          <w:szCs w:val="20"/>
          <w:u w:val="single"/>
        </w:rPr>
        <w:t>Verificar que</w:t>
      </w:r>
      <w:r w:rsidRPr="008C3C0D">
        <w:rPr>
          <w:rFonts w:ascii="Arial Narrow" w:hAnsi="Arial Narrow"/>
          <w:sz w:val="20"/>
          <w:szCs w:val="20"/>
        </w:rPr>
        <w:t xml:space="preserve"> las pesas, medidas y </w:t>
      </w:r>
      <w:r w:rsidRPr="008C3C0D">
        <w:rPr>
          <w:rFonts w:ascii="Arial Narrow" w:hAnsi="Arial Narrow"/>
          <w:sz w:val="20"/>
          <w:szCs w:val="20"/>
          <w:u w:val="single"/>
        </w:rPr>
        <w:t>los instrumentos de medición que se utilicen en transacciones comerciales, industriales o de servicios sean adecuados.</w:t>
      </w:r>
    </w:p>
    <w:sectPr w:rsidR="00C64CAE" w:rsidRPr="008C3C0D" w:rsidSect="00F60AAE">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1C" w:rsidRDefault="00F56B1C" w:rsidP="00460053">
      <w:pPr>
        <w:spacing w:after="0"/>
      </w:pPr>
      <w:r>
        <w:separator/>
      </w:r>
    </w:p>
  </w:endnote>
  <w:endnote w:type="continuationSeparator" w:id="0">
    <w:p w:rsidR="00F56B1C" w:rsidRDefault="00F56B1C" w:rsidP="004600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06037602"/>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rsidR="00917AF2" w:rsidRPr="00A90F5A" w:rsidRDefault="00917AF2" w:rsidP="00A90F5A">
            <w:pPr>
              <w:pStyle w:val="Piedepgina"/>
              <w:jc w:val="right"/>
              <w:rPr>
                <w:sz w:val="20"/>
              </w:rPr>
            </w:pPr>
            <w:r w:rsidRPr="00A90F5A">
              <w:rPr>
                <w:sz w:val="20"/>
                <w:lang w:val="es-ES"/>
              </w:rPr>
              <w:t xml:space="preserve">Página </w:t>
            </w:r>
            <w:r w:rsidRPr="00A90F5A">
              <w:rPr>
                <w:b/>
                <w:bCs/>
                <w:sz w:val="20"/>
              </w:rPr>
              <w:fldChar w:fldCharType="begin"/>
            </w:r>
            <w:r w:rsidRPr="00A90F5A">
              <w:rPr>
                <w:b/>
                <w:bCs/>
                <w:sz w:val="20"/>
              </w:rPr>
              <w:instrText>PAGE</w:instrText>
            </w:r>
            <w:r w:rsidRPr="00A90F5A">
              <w:rPr>
                <w:b/>
                <w:bCs/>
                <w:sz w:val="20"/>
              </w:rPr>
              <w:fldChar w:fldCharType="separate"/>
            </w:r>
            <w:r w:rsidR="006B5750">
              <w:rPr>
                <w:b/>
                <w:bCs/>
                <w:noProof/>
                <w:sz w:val="20"/>
              </w:rPr>
              <w:t>6</w:t>
            </w:r>
            <w:r w:rsidRPr="00A90F5A">
              <w:rPr>
                <w:b/>
                <w:bCs/>
                <w:sz w:val="20"/>
              </w:rPr>
              <w:fldChar w:fldCharType="end"/>
            </w:r>
            <w:r w:rsidRPr="00A90F5A">
              <w:rPr>
                <w:sz w:val="20"/>
                <w:lang w:val="es-ES"/>
              </w:rPr>
              <w:t xml:space="preserve"> de </w:t>
            </w:r>
            <w:r w:rsidRPr="00A90F5A">
              <w:rPr>
                <w:b/>
                <w:bCs/>
                <w:sz w:val="20"/>
              </w:rPr>
              <w:fldChar w:fldCharType="begin"/>
            </w:r>
            <w:r w:rsidRPr="00A90F5A">
              <w:rPr>
                <w:b/>
                <w:bCs/>
                <w:sz w:val="20"/>
              </w:rPr>
              <w:instrText>NUMPAGES</w:instrText>
            </w:r>
            <w:r w:rsidRPr="00A90F5A">
              <w:rPr>
                <w:b/>
                <w:bCs/>
                <w:sz w:val="20"/>
              </w:rPr>
              <w:fldChar w:fldCharType="separate"/>
            </w:r>
            <w:r w:rsidR="006B5750">
              <w:rPr>
                <w:b/>
                <w:bCs/>
                <w:noProof/>
                <w:sz w:val="20"/>
              </w:rPr>
              <w:t>6</w:t>
            </w:r>
            <w:r w:rsidRPr="00A90F5A">
              <w:rPr>
                <w:b/>
                <w:bCs/>
                <w:sz w:val="20"/>
              </w:rPr>
              <w:fldChar w:fldCharType="end"/>
            </w:r>
          </w:p>
        </w:sdtContent>
      </w:sdt>
    </w:sdtContent>
  </w:sdt>
  <w:p w:rsidR="00917AF2" w:rsidRDefault="00917A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1C" w:rsidRDefault="00F56B1C" w:rsidP="00460053">
      <w:pPr>
        <w:spacing w:after="0"/>
      </w:pPr>
      <w:r>
        <w:separator/>
      </w:r>
    </w:p>
  </w:footnote>
  <w:footnote w:type="continuationSeparator" w:id="0">
    <w:p w:rsidR="00F56B1C" w:rsidRDefault="00F56B1C" w:rsidP="004600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E08"/>
    <w:multiLevelType w:val="hybridMultilevel"/>
    <w:tmpl w:val="5A9A465E"/>
    <w:lvl w:ilvl="0" w:tplc="D7C09BFC">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5152B79"/>
    <w:multiLevelType w:val="hybridMultilevel"/>
    <w:tmpl w:val="E04C81F0"/>
    <w:lvl w:ilvl="0" w:tplc="211A610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06022E19"/>
    <w:multiLevelType w:val="hybridMultilevel"/>
    <w:tmpl w:val="5C6CF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878FF"/>
    <w:multiLevelType w:val="hybridMultilevel"/>
    <w:tmpl w:val="C8225552"/>
    <w:lvl w:ilvl="0" w:tplc="3452A17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066E61B7"/>
    <w:multiLevelType w:val="hybridMultilevel"/>
    <w:tmpl w:val="1ECCC9E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F6685F"/>
    <w:multiLevelType w:val="hybridMultilevel"/>
    <w:tmpl w:val="96A25C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948DC"/>
    <w:multiLevelType w:val="hybridMultilevel"/>
    <w:tmpl w:val="B1DE01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613000"/>
    <w:multiLevelType w:val="hybridMultilevel"/>
    <w:tmpl w:val="8ADEEC0A"/>
    <w:lvl w:ilvl="0" w:tplc="48D2157C">
      <w:start w:val="1"/>
      <w:numFmt w:val="decimal"/>
      <w:lvlText w:val="%1."/>
      <w:lvlJc w:val="left"/>
      <w:pPr>
        <w:ind w:left="360" w:hanging="360"/>
      </w:pPr>
      <w:rPr>
        <w:rFonts w:cs="Arial" w:hint="default"/>
        <w:color w:val="262626" w:themeColor="text1" w:themeTint="D9"/>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FD14780"/>
    <w:multiLevelType w:val="hybridMultilevel"/>
    <w:tmpl w:val="800E22A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F959C2"/>
    <w:multiLevelType w:val="hybridMultilevel"/>
    <w:tmpl w:val="55CCD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4B542B"/>
    <w:multiLevelType w:val="hybridMultilevel"/>
    <w:tmpl w:val="2DF46022"/>
    <w:lvl w:ilvl="0" w:tplc="8C88BAF8">
      <w:start w:val="24"/>
      <w:numFmt w:val="bullet"/>
      <w:lvlText w:val="-"/>
      <w:lvlJc w:val="left"/>
      <w:pPr>
        <w:ind w:left="720" w:hanging="360"/>
      </w:pPr>
      <w:rPr>
        <w:rFonts w:ascii="Arial" w:eastAsiaTheme="minorHAnsi" w:hAnsi="Aria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871053"/>
    <w:multiLevelType w:val="hybridMultilevel"/>
    <w:tmpl w:val="06ECDD4E"/>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D534AB"/>
    <w:multiLevelType w:val="hybridMultilevel"/>
    <w:tmpl w:val="89AAE36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403865B9"/>
    <w:multiLevelType w:val="hybridMultilevel"/>
    <w:tmpl w:val="89AAE36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4065227D"/>
    <w:multiLevelType w:val="hybridMultilevel"/>
    <w:tmpl w:val="800E22A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D4858"/>
    <w:multiLevelType w:val="hybridMultilevel"/>
    <w:tmpl w:val="A6F8F290"/>
    <w:lvl w:ilvl="0" w:tplc="EDC41C4A">
      <w:start w:val="2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062299"/>
    <w:multiLevelType w:val="hybridMultilevel"/>
    <w:tmpl w:val="1A0C87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58B26C0"/>
    <w:multiLevelType w:val="hybridMultilevel"/>
    <w:tmpl w:val="B420C0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F37E4C"/>
    <w:multiLevelType w:val="hybridMultilevel"/>
    <w:tmpl w:val="7C5C7982"/>
    <w:lvl w:ilvl="0" w:tplc="7D30100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4D851C10"/>
    <w:multiLevelType w:val="hybridMultilevel"/>
    <w:tmpl w:val="96A25C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EB6546"/>
    <w:multiLevelType w:val="hybridMultilevel"/>
    <w:tmpl w:val="312852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52606E"/>
    <w:multiLevelType w:val="hybridMultilevel"/>
    <w:tmpl w:val="1DB2B95C"/>
    <w:lvl w:ilvl="0" w:tplc="CCF699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395D39"/>
    <w:multiLevelType w:val="hybridMultilevel"/>
    <w:tmpl w:val="2D34A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B728AB"/>
    <w:multiLevelType w:val="hybridMultilevel"/>
    <w:tmpl w:val="C25E0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135B3A"/>
    <w:multiLevelType w:val="hybridMultilevel"/>
    <w:tmpl w:val="373C5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9A5ECE"/>
    <w:multiLevelType w:val="hybridMultilevel"/>
    <w:tmpl w:val="119C07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E446CE"/>
    <w:multiLevelType w:val="hybridMultilevel"/>
    <w:tmpl w:val="30B6034A"/>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7" w15:restartNumberingAfterBreak="0">
    <w:nsid w:val="7B9F54D4"/>
    <w:multiLevelType w:val="hybridMultilevel"/>
    <w:tmpl w:val="B9E2A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0B747B"/>
    <w:multiLevelType w:val="hybridMultilevel"/>
    <w:tmpl w:val="B58ADE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0"/>
  </w:num>
  <w:num w:numId="4">
    <w:abstractNumId w:val="4"/>
  </w:num>
  <w:num w:numId="5">
    <w:abstractNumId w:val="23"/>
  </w:num>
  <w:num w:numId="6">
    <w:abstractNumId w:val="8"/>
  </w:num>
  <w:num w:numId="7">
    <w:abstractNumId w:val="14"/>
  </w:num>
  <w:num w:numId="8">
    <w:abstractNumId w:val="16"/>
  </w:num>
  <w:num w:numId="9">
    <w:abstractNumId w:val="28"/>
  </w:num>
  <w:num w:numId="10">
    <w:abstractNumId w:val="15"/>
  </w:num>
  <w:num w:numId="11">
    <w:abstractNumId w:val="10"/>
  </w:num>
  <w:num w:numId="12">
    <w:abstractNumId w:val="6"/>
  </w:num>
  <w:num w:numId="13">
    <w:abstractNumId w:val="24"/>
  </w:num>
  <w:num w:numId="14">
    <w:abstractNumId w:val="9"/>
  </w:num>
  <w:num w:numId="15">
    <w:abstractNumId w:val="26"/>
  </w:num>
  <w:num w:numId="16">
    <w:abstractNumId w:val="12"/>
  </w:num>
  <w:num w:numId="17">
    <w:abstractNumId w:val="13"/>
  </w:num>
  <w:num w:numId="18">
    <w:abstractNumId w:val="22"/>
  </w:num>
  <w:num w:numId="19">
    <w:abstractNumId w:val="3"/>
  </w:num>
  <w:num w:numId="20">
    <w:abstractNumId w:val="1"/>
  </w:num>
  <w:num w:numId="21">
    <w:abstractNumId w:val="27"/>
  </w:num>
  <w:num w:numId="22">
    <w:abstractNumId w:val="0"/>
  </w:num>
  <w:num w:numId="23">
    <w:abstractNumId w:val="7"/>
  </w:num>
  <w:num w:numId="24">
    <w:abstractNumId w:val="25"/>
  </w:num>
  <w:num w:numId="25">
    <w:abstractNumId w:val="17"/>
  </w:num>
  <w:num w:numId="26">
    <w:abstractNumId w:val="21"/>
  </w:num>
  <w:num w:numId="27">
    <w:abstractNumId w:val="19"/>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F4"/>
    <w:rsid w:val="00001956"/>
    <w:rsid w:val="000036A1"/>
    <w:rsid w:val="00011ACF"/>
    <w:rsid w:val="00015CD0"/>
    <w:rsid w:val="0002049C"/>
    <w:rsid w:val="0003356D"/>
    <w:rsid w:val="00034D26"/>
    <w:rsid w:val="00035F01"/>
    <w:rsid w:val="00040A48"/>
    <w:rsid w:val="0004330B"/>
    <w:rsid w:val="00045E39"/>
    <w:rsid w:val="00070A70"/>
    <w:rsid w:val="00077AA7"/>
    <w:rsid w:val="000816FD"/>
    <w:rsid w:val="00082E49"/>
    <w:rsid w:val="00086596"/>
    <w:rsid w:val="00086F3C"/>
    <w:rsid w:val="00087D2B"/>
    <w:rsid w:val="00090673"/>
    <w:rsid w:val="000950A5"/>
    <w:rsid w:val="0009614B"/>
    <w:rsid w:val="000A3963"/>
    <w:rsid w:val="000A6853"/>
    <w:rsid w:val="000B60B1"/>
    <w:rsid w:val="000B68D0"/>
    <w:rsid w:val="000D2737"/>
    <w:rsid w:val="000D47BB"/>
    <w:rsid w:val="000D601B"/>
    <w:rsid w:val="000E0A7C"/>
    <w:rsid w:val="000E6091"/>
    <w:rsid w:val="000E61F4"/>
    <w:rsid w:val="000E7B8A"/>
    <w:rsid w:val="000F063A"/>
    <w:rsid w:val="000F40DF"/>
    <w:rsid w:val="000F7BA2"/>
    <w:rsid w:val="0010084F"/>
    <w:rsid w:val="0010407A"/>
    <w:rsid w:val="00104EE1"/>
    <w:rsid w:val="0011132F"/>
    <w:rsid w:val="001130DB"/>
    <w:rsid w:val="001141E7"/>
    <w:rsid w:val="00117EE8"/>
    <w:rsid w:val="00137BFD"/>
    <w:rsid w:val="00137DC9"/>
    <w:rsid w:val="00143723"/>
    <w:rsid w:val="00144F47"/>
    <w:rsid w:val="00160503"/>
    <w:rsid w:val="00171B9F"/>
    <w:rsid w:val="001736F9"/>
    <w:rsid w:val="00177418"/>
    <w:rsid w:val="00184686"/>
    <w:rsid w:val="001917CC"/>
    <w:rsid w:val="00192126"/>
    <w:rsid w:val="001A2046"/>
    <w:rsid w:val="001A77D6"/>
    <w:rsid w:val="001C4614"/>
    <w:rsid w:val="001D1BA5"/>
    <w:rsid w:val="001D5957"/>
    <w:rsid w:val="001E00A8"/>
    <w:rsid w:val="001F2B04"/>
    <w:rsid w:val="00203A06"/>
    <w:rsid w:val="00203E5C"/>
    <w:rsid w:val="00203F7E"/>
    <w:rsid w:val="00205A9C"/>
    <w:rsid w:val="00207AF4"/>
    <w:rsid w:val="0021300F"/>
    <w:rsid w:val="00221AA9"/>
    <w:rsid w:val="0022498F"/>
    <w:rsid w:val="0023198B"/>
    <w:rsid w:val="0023442E"/>
    <w:rsid w:val="00236A49"/>
    <w:rsid w:val="00240855"/>
    <w:rsid w:val="00240961"/>
    <w:rsid w:val="0026214D"/>
    <w:rsid w:val="00264B25"/>
    <w:rsid w:val="00267BF3"/>
    <w:rsid w:val="00280237"/>
    <w:rsid w:val="00292C3B"/>
    <w:rsid w:val="002974B5"/>
    <w:rsid w:val="002A1357"/>
    <w:rsid w:val="002A1F9E"/>
    <w:rsid w:val="002A4739"/>
    <w:rsid w:val="002A7259"/>
    <w:rsid w:val="002B3602"/>
    <w:rsid w:val="002C1707"/>
    <w:rsid w:val="002C2859"/>
    <w:rsid w:val="002D1689"/>
    <w:rsid w:val="002E0ECC"/>
    <w:rsid w:val="002E460B"/>
    <w:rsid w:val="002E4A95"/>
    <w:rsid w:val="002E76C6"/>
    <w:rsid w:val="002F056C"/>
    <w:rsid w:val="00300DDC"/>
    <w:rsid w:val="00305CD9"/>
    <w:rsid w:val="003063EE"/>
    <w:rsid w:val="00311C8E"/>
    <w:rsid w:val="00312FC8"/>
    <w:rsid w:val="003301C1"/>
    <w:rsid w:val="003350C4"/>
    <w:rsid w:val="0033724E"/>
    <w:rsid w:val="00350F84"/>
    <w:rsid w:val="00357FF0"/>
    <w:rsid w:val="00361063"/>
    <w:rsid w:val="00373378"/>
    <w:rsid w:val="003752DF"/>
    <w:rsid w:val="0038131B"/>
    <w:rsid w:val="003944D6"/>
    <w:rsid w:val="00395918"/>
    <w:rsid w:val="003A1AB1"/>
    <w:rsid w:val="003A2C11"/>
    <w:rsid w:val="003A3881"/>
    <w:rsid w:val="003A69C2"/>
    <w:rsid w:val="003B0208"/>
    <w:rsid w:val="003C171E"/>
    <w:rsid w:val="003C59D0"/>
    <w:rsid w:val="003D14B4"/>
    <w:rsid w:val="003D3B0E"/>
    <w:rsid w:val="003D54B3"/>
    <w:rsid w:val="003E607F"/>
    <w:rsid w:val="003F39E4"/>
    <w:rsid w:val="00400681"/>
    <w:rsid w:val="004029D5"/>
    <w:rsid w:val="004115F2"/>
    <w:rsid w:val="0041763D"/>
    <w:rsid w:val="00420A8E"/>
    <w:rsid w:val="00421F5E"/>
    <w:rsid w:val="00424FF1"/>
    <w:rsid w:val="0042708A"/>
    <w:rsid w:val="0042797F"/>
    <w:rsid w:val="00434C1D"/>
    <w:rsid w:val="00442A17"/>
    <w:rsid w:val="004446BE"/>
    <w:rsid w:val="00445180"/>
    <w:rsid w:val="00446AFF"/>
    <w:rsid w:val="0045079F"/>
    <w:rsid w:val="004551E3"/>
    <w:rsid w:val="00457502"/>
    <w:rsid w:val="004579A1"/>
    <w:rsid w:val="00460053"/>
    <w:rsid w:val="00460D21"/>
    <w:rsid w:val="0048529D"/>
    <w:rsid w:val="004864E3"/>
    <w:rsid w:val="00492B78"/>
    <w:rsid w:val="00496FF6"/>
    <w:rsid w:val="004A3E06"/>
    <w:rsid w:val="004C2509"/>
    <w:rsid w:val="004C4907"/>
    <w:rsid w:val="004D2677"/>
    <w:rsid w:val="004D3148"/>
    <w:rsid w:val="004D4101"/>
    <w:rsid w:val="004E0948"/>
    <w:rsid w:val="004E3A1A"/>
    <w:rsid w:val="004E46F0"/>
    <w:rsid w:val="004E4D5C"/>
    <w:rsid w:val="004F1964"/>
    <w:rsid w:val="004F46D2"/>
    <w:rsid w:val="0050548A"/>
    <w:rsid w:val="00507284"/>
    <w:rsid w:val="00516BC8"/>
    <w:rsid w:val="0052055F"/>
    <w:rsid w:val="00526EA6"/>
    <w:rsid w:val="00546542"/>
    <w:rsid w:val="00552C90"/>
    <w:rsid w:val="005606FE"/>
    <w:rsid w:val="00560EB4"/>
    <w:rsid w:val="00571FD4"/>
    <w:rsid w:val="0058142C"/>
    <w:rsid w:val="0059091E"/>
    <w:rsid w:val="00592A10"/>
    <w:rsid w:val="005971B3"/>
    <w:rsid w:val="005A2964"/>
    <w:rsid w:val="005A29BE"/>
    <w:rsid w:val="005B14B2"/>
    <w:rsid w:val="005B70A6"/>
    <w:rsid w:val="005C12F1"/>
    <w:rsid w:val="005C1B85"/>
    <w:rsid w:val="005D24B3"/>
    <w:rsid w:val="005E3880"/>
    <w:rsid w:val="005E6CDC"/>
    <w:rsid w:val="005F1E21"/>
    <w:rsid w:val="005F6503"/>
    <w:rsid w:val="006028E7"/>
    <w:rsid w:val="00602E63"/>
    <w:rsid w:val="00604651"/>
    <w:rsid w:val="00605020"/>
    <w:rsid w:val="00606798"/>
    <w:rsid w:val="006067FD"/>
    <w:rsid w:val="00606975"/>
    <w:rsid w:val="00611B41"/>
    <w:rsid w:val="0061261B"/>
    <w:rsid w:val="00621228"/>
    <w:rsid w:val="00624CA8"/>
    <w:rsid w:val="00625C57"/>
    <w:rsid w:val="006270E7"/>
    <w:rsid w:val="00627433"/>
    <w:rsid w:val="00630D24"/>
    <w:rsid w:val="00650088"/>
    <w:rsid w:val="00651116"/>
    <w:rsid w:val="00656B8D"/>
    <w:rsid w:val="006719E4"/>
    <w:rsid w:val="00676221"/>
    <w:rsid w:val="00676FF6"/>
    <w:rsid w:val="006774CE"/>
    <w:rsid w:val="00677638"/>
    <w:rsid w:val="00692017"/>
    <w:rsid w:val="00693973"/>
    <w:rsid w:val="006A1E05"/>
    <w:rsid w:val="006A3312"/>
    <w:rsid w:val="006B4198"/>
    <w:rsid w:val="006B4A80"/>
    <w:rsid w:val="006B5750"/>
    <w:rsid w:val="006C1971"/>
    <w:rsid w:val="006D0ED5"/>
    <w:rsid w:val="006D67CC"/>
    <w:rsid w:val="006D6CF0"/>
    <w:rsid w:val="006D7AF5"/>
    <w:rsid w:val="006E03E1"/>
    <w:rsid w:val="006E1139"/>
    <w:rsid w:val="006F31A2"/>
    <w:rsid w:val="006F60FC"/>
    <w:rsid w:val="00715BAB"/>
    <w:rsid w:val="00723ACE"/>
    <w:rsid w:val="007306EB"/>
    <w:rsid w:val="0073474E"/>
    <w:rsid w:val="00736AA1"/>
    <w:rsid w:val="007408BD"/>
    <w:rsid w:val="007462D7"/>
    <w:rsid w:val="00752734"/>
    <w:rsid w:val="00760F8C"/>
    <w:rsid w:val="0076730A"/>
    <w:rsid w:val="00777D36"/>
    <w:rsid w:val="007807D4"/>
    <w:rsid w:val="00796171"/>
    <w:rsid w:val="007967DF"/>
    <w:rsid w:val="007A6EDA"/>
    <w:rsid w:val="007B3CF3"/>
    <w:rsid w:val="007C292F"/>
    <w:rsid w:val="007C5FA1"/>
    <w:rsid w:val="007D0F19"/>
    <w:rsid w:val="007E179B"/>
    <w:rsid w:val="007E215A"/>
    <w:rsid w:val="007E70A8"/>
    <w:rsid w:val="007E71C3"/>
    <w:rsid w:val="007F02D5"/>
    <w:rsid w:val="007F07E7"/>
    <w:rsid w:val="007F08F1"/>
    <w:rsid w:val="007F1773"/>
    <w:rsid w:val="007F2F47"/>
    <w:rsid w:val="008070FE"/>
    <w:rsid w:val="0080779F"/>
    <w:rsid w:val="008179F9"/>
    <w:rsid w:val="00823C6D"/>
    <w:rsid w:val="00825634"/>
    <w:rsid w:val="0082690F"/>
    <w:rsid w:val="00826BE3"/>
    <w:rsid w:val="00832135"/>
    <w:rsid w:val="00834B41"/>
    <w:rsid w:val="00842100"/>
    <w:rsid w:val="008422EF"/>
    <w:rsid w:val="00844EBA"/>
    <w:rsid w:val="00846C88"/>
    <w:rsid w:val="00851B91"/>
    <w:rsid w:val="00857324"/>
    <w:rsid w:val="00865D79"/>
    <w:rsid w:val="0087207E"/>
    <w:rsid w:val="0087335A"/>
    <w:rsid w:val="00881170"/>
    <w:rsid w:val="00881FB2"/>
    <w:rsid w:val="008902CC"/>
    <w:rsid w:val="008A33F5"/>
    <w:rsid w:val="008A4168"/>
    <w:rsid w:val="008A7094"/>
    <w:rsid w:val="008B21FC"/>
    <w:rsid w:val="008C3C0D"/>
    <w:rsid w:val="008D20AE"/>
    <w:rsid w:val="008D2A41"/>
    <w:rsid w:val="008D42B6"/>
    <w:rsid w:val="008E7246"/>
    <w:rsid w:val="008F0C1E"/>
    <w:rsid w:val="009107C0"/>
    <w:rsid w:val="00917AF2"/>
    <w:rsid w:val="00923D8E"/>
    <w:rsid w:val="00926CEC"/>
    <w:rsid w:val="00931BBC"/>
    <w:rsid w:val="00942010"/>
    <w:rsid w:val="00947C61"/>
    <w:rsid w:val="0095040C"/>
    <w:rsid w:val="00965540"/>
    <w:rsid w:val="009657DA"/>
    <w:rsid w:val="00973062"/>
    <w:rsid w:val="00974E0E"/>
    <w:rsid w:val="0099319D"/>
    <w:rsid w:val="009A53E5"/>
    <w:rsid w:val="009B488B"/>
    <w:rsid w:val="009B7E5E"/>
    <w:rsid w:val="009C4B14"/>
    <w:rsid w:val="009D2716"/>
    <w:rsid w:val="009E4121"/>
    <w:rsid w:val="009E7A37"/>
    <w:rsid w:val="009F7D90"/>
    <w:rsid w:val="00A22611"/>
    <w:rsid w:val="00A2273C"/>
    <w:rsid w:val="00A23938"/>
    <w:rsid w:val="00A24149"/>
    <w:rsid w:val="00A30132"/>
    <w:rsid w:val="00A3391E"/>
    <w:rsid w:val="00A3541E"/>
    <w:rsid w:val="00A416A1"/>
    <w:rsid w:val="00A4467E"/>
    <w:rsid w:val="00A47269"/>
    <w:rsid w:val="00A4791C"/>
    <w:rsid w:val="00A5169F"/>
    <w:rsid w:val="00A674C0"/>
    <w:rsid w:val="00A703DF"/>
    <w:rsid w:val="00A70AFA"/>
    <w:rsid w:val="00A72674"/>
    <w:rsid w:val="00A72841"/>
    <w:rsid w:val="00A90F5A"/>
    <w:rsid w:val="00A924A8"/>
    <w:rsid w:val="00A96294"/>
    <w:rsid w:val="00A974A5"/>
    <w:rsid w:val="00AA791F"/>
    <w:rsid w:val="00AC5B59"/>
    <w:rsid w:val="00AD4538"/>
    <w:rsid w:val="00AE76AE"/>
    <w:rsid w:val="00AF0ED6"/>
    <w:rsid w:val="00AF471B"/>
    <w:rsid w:val="00AF5EBE"/>
    <w:rsid w:val="00AF6FC5"/>
    <w:rsid w:val="00B123A5"/>
    <w:rsid w:val="00B143FA"/>
    <w:rsid w:val="00B1691F"/>
    <w:rsid w:val="00B17046"/>
    <w:rsid w:val="00B315E3"/>
    <w:rsid w:val="00B43460"/>
    <w:rsid w:val="00B437FB"/>
    <w:rsid w:val="00B50A7C"/>
    <w:rsid w:val="00B50C3C"/>
    <w:rsid w:val="00B54F05"/>
    <w:rsid w:val="00B64069"/>
    <w:rsid w:val="00B70DB4"/>
    <w:rsid w:val="00B7442D"/>
    <w:rsid w:val="00B7657E"/>
    <w:rsid w:val="00B77367"/>
    <w:rsid w:val="00B90084"/>
    <w:rsid w:val="00B9367A"/>
    <w:rsid w:val="00B937EA"/>
    <w:rsid w:val="00BA4E4B"/>
    <w:rsid w:val="00BB1069"/>
    <w:rsid w:val="00BB296E"/>
    <w:rsid w:val="00BB65BB"/>
    <w:rsid w:val="00BC53E5"/>
    <w:rsid w:val="00BC78A5"/>
    <w:rsid w:val="00BC7B70"/>
    <w:rsid w:val="00BF0002"/>
    <w:rsid w:val="00BF47D3"/>
    <w:rsid w:val="00C06709"/>
    <w:rsid w:val="00C06D05"/>
    <w:rsid w:val="00C127FC"/>
    <w:rsid w:val="00C275AD"/>
    <w:rsid w:val="00C31784"/>
    <w:rsid w:val="00C34265"/>
    <w:rsid w:val="00C35C89"/>
    <w:rsid w:val="00C44AA9"/>
    <w:rsid w:val="00C46D8B"/>
    <w:rsid w:val="00C57E17"/>
    <w:rsid w:val="00C64CAE"/>
    <w:rsid w:val="00C70941"/>
    <w:rsid w:val="00C735DB"/>
    <w:rsid w:val="00C85E68"/>
    <w:rsid w:val="00C866A2"/>
    <w:rsid w:val="00C8724E"/>
    <w:rsid w:val="00C92D6D"/>
    <w:rsid w:val="00C9321E"/>
    <w:rsid w:val="00C942BE"/>
    <w:rsid w:val="00CA49D9"/>
    <w:rsid w:val="00CB48E6"/>
    <w:rsid w:val="00CE386F"/>
    <w:rsid w:val="00CE5CBD"/>
    <w:rsid w:val="00D001A3"/>
    <w:rsid w:val="00D061BE"/>
    <w:rsid w:val="00D076BE"/>
    <w:rsid w:val="00D11F94"/>
    <w:rsid w:val="00D3378B"/>
    <w:rsid w:val="00D37FFA"/>
    <w:rsid w:val="00D4265B"/>
    <w:rsid w:val="00D46307"/>
    <w:rsid w:val="00D50500"/>
    <w:rsid w:val="00D507C1"/>
    <w:rsid w:val="00D50956"/>
    <w:rsid w:val="00D50A7B"/>
    <w:rsid w:val="00D64702"/>
    <w:rsid w:val="00D75C71"/>
    <w:rsid w:val="00D836EB"/>
    <w:rsid w:val="00D87FF0"/>
    <w:rsid w:val="00D9118D"/>
    <w:rsid w:val="00DA6D3C"/>
    <w:rsid w:val="00DC344D"/>
    <w:rsid w:val="00DC7273"/>
    <w:rsid w:val="00DD116C"/>
    <w:rsid w:val="00DE334C"/>
    <w:rsid w:val="00DE7B83"/>
    <w:rsid w:val="00E01A52"/>
    <w:rsid w:val="00E13EF7"/>
    <w:rsid w:val="00E24B89"/>
    <w:rsid w:val="00E36471"/>
    <w:rsid w:val="00E36D48"/>
    <w:rsid w:val="00E4721E"/>
    <w:rsid w:val="00E520F4"/>
    <w:rsid w:val="00E5747D"/>
    <w:rsid w:val="00E60B97"/>
    <w:rsid w:val="00E644A2"/>
    <w:rsid w:val="00E64BD4"/>
    <w:rsid w:val="00E73E0B"/>
    <w:rsid w:val="00E84ED2"/>
    <w:rsid w:val="00E84FBF"/>
    <w:rsid w:val="00E878D3"/>
    <w:rsid w:val="00E879E4"/>
    <w:rsid w:val="00E943C6"/>
    <w:rsid w:val="00ED6C0E"/>
    <w:rsid w:val="00ED753B"/>
    <w:rsid w:val="00EE486A"/>
    <w:rsid w:val="00EE61F2"/>
    <w:rsid w:val="00F1210B"/>
    <w:rsid w:val="00F1315F"/>
    <w:rsid w:val="00F14FCA"/>
    <w:rsid w:val="00F27917"/>
    <w:rsid w:val="00F30091"/>
    <w:rsid w:val="00F36D84"/>
    <w:rsid w:val="00F415BF"/>
    <w:rsid w:val="00F41956"/>
    <w:rsid w:val="00F46952"/>
    <w:rsid w:val="00F50729"/>
    <w:rsid w:val="00F52B29"/>
    <w:rsid w:val="00F56B1C"/>
    <w:rsid w:val="00F60AAE"/>
    <w:rsid w:val="00F61833"/>
    <w:rsid w:val="00F667EB"/>
    <w:rsid w:val="00F73D96"/>
    <w:rsid w:val="00F75402"/>
    <w:rsid w:val="00F773D8"/>
    <w:rsid w:val="00F865C0"/>
    <w:rsid w:val="00F9351C"/>
    <w:rsid w:val="00FA3552"/>
    <w:rsid w:val="00FB4E05"/>
    <w:rsid w:val="00FB4E55"/>
    <w:rsid w:val="00FC0B9A"/>
    <w:rsid w:val="00FD4004"/>
    <w:rsid w:val="00FD612A"/>
    <w:rsid w:val="00FD6637"/>
    <w:rsid w:val="00FD6CBC"/>
    <w:rsid w:val="00FD79F4"/>
    <w:rsid w:val="00FE13F9"/>
    <w:rsid w:val="00FE182C"/>
    <w:rsid w:val="00FE4463"/>
    <w:rsid w:val="00FE7CBC"/>
    <w:rsid w:val="00FF17D2"/>
    <w:rsid w:val="00FF2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99C11"/>
  <w15:chartTrackingRefBased/>
  <w15:docId w15:val="{49DEC217-C0A9-401D-BAEC-467DD5D2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A1"/>
    <w:pPr>
      <w:spacing w:after="40" w:line="240" w:lineRule="auto"/>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paciodetabla">
    <w:name w:val="Espacio de tabla"/>
    <w:basedOn w:val="Normal"/>
    <w:next w:val="Normal"/>
    <w:uiPriority w:val="2"/>
    <w:qFormat/>
    <w:rsid w:val="00E520F4"/>
    <w:pPr>
      <w:spacing w:after="0" w:line="80" w:lineRule="exact"/>
      <w:ind w:left="144" w:right="144"/>
      <w:jc w:val="left"/>
    </w:pPr>
    <w:rPr>
      <w:rFonts w:asciiTheme="minorHAnsi" w:hAnsiTheme="minorHAnsi" w:cstheme="minorBidi"/>
      <w:color w:val="262626" w:themeColor="text1" w:themeTint="D9"/>
      <w:sz w:val="22"/>
      <w:szCs w:val="22"/>
      <w:lang w:val="en-US"/>
    </w:rPr>
  </w:style>
  <w:style w:type="table" w:customStyle="1" w:styleId="NewsletterTable">
    <w:name w:val="Newsletter Table"/>
    <w:basedOn w:val="Tablanormal"/>
    <w:uiPriority w:val="99"/>
    <w:rsid w:val="00E520F4"/>
    <w:pPr>
      <w:spacing w:before="200" w:after="0" w:line="240" w:lineRule="auto"/>
      <w:ind w:left="144" w:right="144"/>
    </w:pPr>
    <w:rPr>
      <w:color w:val="262626" w:themeColor="text1" w:themeTint="D9"/>
      <w:lang w:val="en-US"/>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Prrafodelista">
    <w:name w:val="List Paragraph"/>
    <w:aliases w:val="viñetas,Listas,lp1,Párrafo de lista numerado,List Paragraph,Numeración 1"/>
    <w:basedOn w:val="Normal"/>
    <w:link w:val="PrrafodelistaCar"/>
    <w:uiPriority w:val="34"/>
    <w:qFormat/>
    <w:rsid w:val="00373378"/>
    <w:pPr>
      <w:spacing w:after="160" w:line="259" w:lineRule="auto"/>
      <w:ind w:left="720"/>
      <w:contextualSpacing/>
      <w:jc w:val="left"/>
    </w:pPr>
    <w:rPr>
      <w:rFonts w:asciiTheme="minorHAnsi" w:hAnsiTheme="minorHAnsi" w:cstheme="minorBidi"/>
      <w:sz w:val="22"/>
      <w:szCs w:val="22"/>
    </w:rPr>
  </w:style>
  <w:style w:type="paragraph" w:styleId="Textonotapie">
    <w:name w:val="footnote text"/>
    <w:basedOn w:val="Normal"/>
    <w:link w:val="TextonotapieCar"/>
    <w:uiPriority w:val="99"/>
    <w:semiHidden/>
    <w:unhideWhenUsed/>
    <w:rsid w:val="00460053"/>
    <w:pPr>
      <w:spacing w:after="0"/>
    </w:pPr>
    <w:rPr>
      <w:sz w:val="20"/>
      <w:szCs w:val="20"/>
    </w:rPr>
  </w:style>
  <w:style w:type="character" w:customStyle="1" w:styleId="TextonotapieCar">
    <w:name w:val="Texto nota pie Car"/>
    <w:basedOn w:val="Fuentedeprrafopredeter"/>
    <w:link w:val="Textonotapie"/>
    <w:uiPriority w:val="99"/>
    <w:semiHidden/>
    <w:rsid w:val="00460053"/>
    <w:rPr>
      <w:rFonts w:ascii="Arial" w:hAnsi="Arial" w:cs="Arial"/>
      <w:sz w:val="20"/>
      <w:szCs w:val="20"/>
    </w:rPr>
  </w:style>
  <w:style w:type="character" w:styleId="Refdenotaalpie">
    <w:name w:val="footnote reference"/>
    <w:basedOn w:val="Fuentedeprrafopredeter"/>
    <w:uiPriority w:val="99"/>
    <w:semiHidden/>
    <w:unhideWhenUsed/>
    <w:rsid w:val="00460053"/>
    <w:rPr>
      <w:vertAlign w:val="superscript"/>
    </w:rPr>
  </w:style>
  <w:style w:type="character" w:styleId="Hipervnculo">
    <w:name w:val="Hyperlink"/>
    <w:basedOn w:val="Fuentedeprrafopredeter"/>
    <w:uiPriority w:val="99"/>
    <w:unhideWhenUsed/>
    <w:rsid w:val="00460053"/>
    <w:rPr>
      <w:color w:val="0563C1" w:themeColor="hyperlink"/>
      <w:u w:val="single"/>
    </w:rPr>
  </w:style>
  <w:style w:type="table" w:styleId="Tablaconcuadrcula">
    <w:name w:val="Table Grid"/>
    <w:basedOn w:val="Tablanormal"/>
    <w:uiPriority w:val="39"/>
    <w:rsid w:val="001E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8724E"/>
    <w:pPr>
      <w:spacing w:after="200"/>
    </w:pPr>
    <w:rPr>
      <w:i/>
      <w:iCs/>
      <w:color w:val="44546A" w:themeColor="text2"/>
      <w:sz w:val="18"/>
      <w:szCs w:val="18"/>
    </w:rPr>
  </w:style>
  <w:style w:type="table" w:styleId="Tabladecuadrcula1clara-nfasis3">
    <w:name w:val="Grid Table 1 Light Accent 3"/>
    <w:basedOn w:val="Tablanormal"/>
    <w:uiPriority w:val="46"/>
    <w:rsid w:val="006067F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F9351C"/>
    <w:pPr>
      <w:tabs>
        <w:tab w:val="center" w:pos="4419"/>
        <w:tab w:val="right" w:pos="8838"/>
      </w:tabs>
      <w:spacing w:after="0"/>
    </w:pPr>
  </w:style>
  <w:style w:type="character" w:customStyle="1" w:styleId="EncabezadoCar">
    <w:name w:val="Encabezado Car"/>
    <w:basedOn w:val="Fuentedeprrafopredeter"/>
    <w:link w:val="Encabezado"/>
    <w:uiPriority w:val="99"/>
    <w:rsid w:val="00F9351C"/>
    <w:rPr>
      <w:rFonts w:ascii="Arial" w:hAnsi="Arial" w:cs="Arial"/>
      <w:sz w:val="24"/>
      <w:szCs w:val="24"/>
    </w:rPr>
  </w:style>
  <w:style w:type="paragraph" w:styleId="Piedepgina">
    <w:name w:val="footer"/>
    <w:basedOn w:val="Normal"/>
    <w:link w:val="PiedepginaCar"/>
    <w:uiPriority w:val="99"/>
    <w:unhideWhenUsed/>
    <w:rsid w:val="00F9351C"/>
    <w:pPr>
      <w:tabs>
        <w:tab w:val="center" w:pos="4419"/>
        <w:tab w:val="right" w:pos="8838"/>
      </w:tabs>
      <w:spacing w:after="0"/>
    </w:pPr>
  </w:style>
  <w:style w:type="character" w:customStyle="1" w:styleId="PiedepginaCar">
    <w:name w:val="Pie de página Car"/>
    <w:basedOn w:val="Fuentedeprrafopredeter"/>
    <w:link w:val="Piedepgina"/>
    <w:uiPriority w:val="99"/>
    <w:rsid w:val="00F9351C"/>
    <w:rPr>
      <w:rFonts w:ascii="Arial" w:hAnsi="Arial" w:cs="Arial"/>
      <w:sz w:val="24"/>
      <w:szCs w:val="24"/>
    </w:rPr>
  </w:style>
  <w:style w:type="character" w:customStyle="1" w:styleId="PrrafodelistaCar">
    <w:name w:val="Párrafo de lista Car"/>
    <w:aliases w:val="viñetas Car,Listas Car,lp1 Car,Párrafo de lista numerado Car,List Paragraph Car,Numeración 1 Car"/>
    <w:link w:val="Prrafodelista"/>
    <w:uiPriority w:val="34"/>
    <w:locked/>
    <w:rsid w:val="00045E39"/>
  </w:style>
  <w:style w:type="paragraph" w:customStyle="1" w:styleId="Texto">
    <w:name w:val="Texto"/>
    <w:aliases w:val="independiente,independiente Car Car Car,independiente Car Car Car Car"/>
    <w:basedOn w:val="Normal"/>
    <w:link w:val="TextoCar"/>
    <w:rsid w:val="0087335A"/>
    <w:pPr>
      <w:spacing w:after="101" w:line="216" w:lineRule="exact"/>
      <w:ind w:firstLine="288"/>
    </w:pPr>
    <w:rPr>
      <w:rFonts w:eastAsia="Times New Roman"/>
      <w:sz w:val="18"/>
      <w:szCs w:val="20"/>
      <w:lang w:val="es-ES" w:eastAsia="es-ES"/>
    </w:rPr>
  </w:style>
  <w:style w:type="character" w:customStyle="1" w:styleId="TextoCar">
    <w:name w:val="Texto Car"/>
    <w:link w:val="Texto"/>
    <w:locked/>
    <w:rsid w:val="0087335A"/>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6C1971"/>
    <w:rPr>
      <w:sz w:val="16"/>
      <w:szCs w:val="16"/>
    </w:rPr>
  </w:style>
  <w:style w:type="paragraph" w:styleId="Textocomentario">
    <w:name w:val="annotation text"/>
    <w:basedOn w:val="Normal"/>
    <w:link w:val="TextocomentarioCar"/>
    <w:uiPriority w:val="99"/>
    <w:semiHidden/>
    <w:unhideWhenUsed/>
    <w:rsid w:val="006C1971"/>
    <w:rPr>
      <w:sz w:val="20"/>
      <w:szCs w:val="20"/>
    </w:rPr>
  </w:style>
  <w:style w:type="character" w:customStyle="1" w:styleId="TextocomentarioCar">
    <w:name w:val="Texto comentario Car"/>
    <w:basedOn w:val="Fuentedeprrafopredeter"/>
    <w:link w:val="Textocomentario"/>
    <w:uiPriority w:val="99"/>
    <w:semiHidden/>
    <w:rsid w:val="006C1971"/>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C1971"/>
    <w:rPr>
      <w:b/>
      <w:bCs/>
    </w:rPr>
  </w:style>
  <w:style w:type="character" w:customStyle="1" w:styleId="AsuntodelcomentarioCar">
    <w:name w:val="Asunto del comentario Car"/>
    <w:basedOn w:val="TextocomentarioCar"/>
    <w:link w:val="Asuntodelcomentario"/>
    <w:uiPriority w:val="99"/>
    <w:semiHidden/>
    <w:rsid w:val="006C1971"/>
    <w:rPr>
      <w:rFonts w:ascii="Arial" w:hAnsi="Arial" w:cs="Arial"/>
      <w:b/>
      <w:bCs/>
      <w:sz w:val="20"/>
      <w:szCs w:val="20"/>
    </w:rPr>
  </w:style>
  <w:style w:type="paragraph" w:styleId="Textodeglobo">
    <w:name w:val="Balloon Text"/>
    <w:basedOn w:val="Normal"/>
    <w:link w:val="TextodegloboCar"/>
    <w:uiPriority w:val="99"/>
    <w:semiHidden/>
    <w:unhideWhenUsed/>
    <w:rsid w:val="006C197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1971"/>
    <w:rPr>
      <w:rFonts w:ascii="Segoe UI" w:hAnsi="Segoe UI" w:cs="Segoe UI"/>
      <w:sz w:val="18"/>
      <w:szCs w:val="18"/>
    </w:rPr>
  </w:style>
  <w:style w:type="character" w:styleId="Textodelmarcadordeposicin">
    <w:name w:val="Placeholder Text"/>
    <w:basedOn w:val="Fuentedeprrafopredeter"/>
    <w:uiPriority w:val="99"/>
    <w:semiHidden/>
    <w:rsid w:val="00692017"/>
    <w:rPr>
      <w:color w:val="808080"/>
    </w:rPr>
  </w:style>
  <w:style w:type="table" w:customStyle="1" w:styleId="Tablaconcuadrcula1">
    <w:name w:val="Tabla con cuadrícula1"/>
    <w:basedOn w:val="Tablanormal"/>
    <w:next w:val="Tablaconcuadrcula"/>
    <w:uiPriority w:val="39"/>
    <w:rsid w:val="00842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597">
      <w:bodyDiv w:val="1"/>
      <w:marLeft w:val="0"/>
      <w:marRight w:val="0"/>
      <w:marTop w:val="0"/>
      <w:marBottom w:val="0"/>
      <w:divBdr>
        <w:top w:val="none" w:sz="0" w:space="0" w:color="auto"/>
        <w:left w:val="none" w:sz="0" w:space="0" w:color="auto"/>
        <w:bottom w:val="none" w:sz="0" w:space="0" w:color="auto"/>
        <w:right w:val="none" w:sz="0" w:space="0" w:color="auto"/>
      </w:divBdr>
    </w:div>
    <w:div w:id="55906165">
      <w:bodyDiv w:val="1"/>
      <w:marLeft w:val="0"/>
      <w:marRight w:val="0"/>
      <w:marTop w:val="0"/>
      <w:marBottom w:val="0"/>
      <w:divBdr>
        <w:top w:val="none" w:sz="0" w:space="0" w:color="auto"/>
        <w:left w:val="none" w:sz="0" w:space="0" w:color="auto"/>
        <w:bottom w:val="none" w:sz="0" w:space="0" w:color="auto"/>
        <w:right w:val="none" w:sz="0" w:space="0" w:color="auto"/>
      </w:divBdr>
    </w:div>
    <w:div w:id="453714972">
      <w:bodyDiv w:val="1"/>
      <w:marLeft w:val="0"/>
      <w:marRight w:val="0"/>
      <w:marTop w:val="0"/>
      <w:marBottom w:val="0"/>
      <w:divBdr>
        <w:top w:val="none" w:sz="0" w:space="0" w:color="auto"/>
        <w:left w:val="none" w:sz="0" w:space="0" w:color="auto"/>
        <w:bottom w:val="none" w:sz="0" w:space="0" w:color="auto"/>
        <w:right w:val="none" w:sz="0" w:space="0" w:color="auto"/>
      </w:divBdr>
    </w:div>
    <w:div w:id="500702751">
      <w:bodyDiv w:val="1"/>
      <w:marLeft w:val="0"/>
      <w:marRight w:val="0"/>
      <w:marTop w:val="0"/>
      <w:marBottom w:val="0"/>
      <w:divBdr>
        <w:top w:val="none" w:sz="0" w:space="0" w:color="auto"/>
        <w:left w:val="none" w:sz="0" w:space="0" w:color="auto"/>
        <w:bottom w:val="none" w:sz="0" w:space="0" w:color="auto"/>
        <w:right w:val="none" w:sz="0" w:space="0" w:color="auto"/>
      </w:divBdr>
    </w:div>
    <w:div w:id="569929350">
      <w:bodyDiv w:val="1"/>
      <w:marLeft w:val="0"/>
      <w:marRight w:val="0"/>
      <w:marTop w:val="0"/>
      <w:marBottom w:val="0"/>
      <w:divBdr>
        <w:top w:val="none" w:sz="0" w:space="0" w:color="auto"/>
        <w:left w:val="none" w:sz="0" w:space="0" w:color="auto"/>
        <w:bottom w:val="none" w:sz="0" w:space="0" w:color="auto"/>
        <w:right w:val="none" w:sz="0" w:space="0" w:color="auto"/>
      </w:divBdr>
    </w:div>
    <w:div w:id="767703126">
      <w:bodyDiv w:val="1"/>
      <w:marLeft w:val="0"/>
      <w:marRight w:val="0"/>
      <w:marTop w:val="0"/>
      <w:marBottom w:val="0"/>
      <w:divBdr>
        <w:top w:val="none" w:sz="0" w:space="0" w:color="auto"/>
        <w:left w:val="none" w:sz="0" w:space="0" w:color="auto"/>
        <w:bottom w:val="none" w:sz="0" w:space="0" w:color="auto"/>
        <w:right w:val="none" w:sz="0" w:space="0" w:color="auto"/>
      </w:divBdr>
    </w:div>
    <w:div w:id="772238263">
      <w:bodyDiv w:val="1"/>
      <w:marLeft w:val="0"/>
      <w:marRight w:val="0"/>
      <w:marTop w:val="0"/>
      <w:marBottom w:val="0"/>
      <w:divBdr>
        <w:top w:val="none" w:sz="0" w:space="0" w:color="auto"/>
        <w:left w:val="none" w:sz="0" w:space="0" w:color="auto"/>
        <w:bottom w:val="none" w:sz="0" w:space="0" w:color="auto"/>
        <w:right w:val="none" w:sz="0" w:space="0" w:color="auto"/>
      </w:divBdr>
    </w:div>
    <w:div w:id="1105803204">
      <w:bodyDiv w:val="1"/>
      <w:marLeft w:val="0"/>
      <w:marRight w:val="0"/>
      <w:marTop w:val="0"/>
      <w:marBottom w:val="0"/>
      <w:divBdr>
        <w:top w:val="none" w:sz="0" w:space="0" w:color="auto"/>
        <w:left w:val="none" w:sz="0" w:space="0" w:color="auto"/>
        <w:bottom w:val="none" w:sz="0" w:space="0" w:color="auto"/>
        <w:right w:val="none" w:sz="0" w:space="0" w:color="auto"/>
      </w:divBdr>
    </w:div>
    <w:div w:id="1509909564">
      <w:bodyDiv w:val="1"/>
      <w:marLeft w:val="0"/>
      <w:marRight w:val="0"/>
      <w:marTop w:val="0"/>
      <w:marBottom w:val="0"/>
      <w:divBdr>
        <w:top w:val="none" w:sz="0" w:space="0" w:color="auto"/>
        <w:left w:val="none" w:sz="0" w:space="0" w:color="auto"/>
        <w:bottom w:val="none" w:sz="0" w:space="0" w:color="auto"/>
        <w:right w:val="none" w:sz="0" w:space="0" w:color="auto"/>
      </w:divBdr>
    </w:div>
    <w:div w:id="1531913969">
      <w:bodyDiv w:val="1"/>
      <w:marLeft w:val="0"/>
      <w:marRight w:val="0"/>
      <w:marTop w:val="0"/>
      <w:marBottom w:val="0"/>
      <w:divBdr>
        <w:top w:val="none" w:sz="0" w:space="0" w:color="auto"/>
        <w:left w:val="none" w:sz="0" w:space="0" w:color="auto"/>
        <w:bottom w:val="none" w:sz="0" w:space="0" w:color="auto"/>
        <w:right w:val="none" w:sz="0" w:space="0" w:color="auto"/>
      </w:divBdr>
    </w:div>
    <w:div w:id="1564170562">
      <w:bodyDiv w:val="1"/>
      <w:marLeft w:val="0"/>
      <w:marRight w:val="0"/>
      <w:marTop w:val="0"/>
      <w:marBottom w:val="0"/>
      <w:divBdr>
        <w:top w:val="none" w:sz="0" w:space="0" w:color="auto"/>
        <w:left w:val="none" w:sz="0" w:space="0" w:color="auto"/>
        <w:bottom w:val="none" w:sz="0" w:space="0" w:color="auto"/>
        <w:right w:val="none" w:sz="0" w:space="0" w:color="auto"/>
      </w:divBdr>
    </w:div>
    <w:div w:id="1578783632">
      <w:bodyDiv w:val="1"/>
      <w:marLeft w:val="0"/>
      <w:marRight w:val="0"/>
      <w:marTop w:val="0"/>
      <w:marBottom w:val="0"/>
      <w:divBdr>
        <w:top w:val="none" w:sz="0" w:space="0" w:color="auto"/>
        <w:left w:val="none" w:sz="0" w:space="0" w:color="auto"/>
        <w:bottom w:val="none" w:sz="0" w:space="0" w:color="auto"/>
        <w:right w:val="none" w:sz="0" w:space="0" w:color="auto"/>
      </w:divBdr>
    </w:div>
    <w:div w:id="1778673896">
      <w:bodyDiv w:val="1"/>
      <w:marLeft w:val="0"/>
      <w:marRight w:val="0"/>
      <w:marTop w:val="0"/>
      <w:marBottom w:val="0"/>
      <w:divBdr>
        <w:top w:val="none" w:sz="0" w:space="0" w:color="auto"/>
        <w:left w:val="none" w:sz="0" w:space="0" w:color="auto"/>
        <w:bottom w:val="none" w:sz="0" w:space="0" w:color="auto"/>
        <w:right w:val="none" w:sz="0" w:space="0" w:color="auto"/>
      </w:divBdr>
    </w:div>
    <w:div w:id="21392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6FC9-80E5-4925-809F-F2A2728C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15444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gcabrera</dc:creator>
  <cp:keywords/>
  <dc:description/>
  <cp:lastModifiedBy>Gladys Cabrera Lopez</cp:lastModifiedBy>
  <cp:revision>2</cp:revision>
  <dcterms:created xsi:type="dcterms:W3CDTF">2019-04-01T18:22:00Z</dcterms:created>
  <dcterms:modified xsi:type="dcterms:W3CDTF">2019-04-01T18:22:00Z</dcterms:modified>
</cp:coreProperties>
</file>