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9E" w:rsidRDefault="00DE4A9E" w:rsidP="00DE4A9E">
      <w:bookmarkStart w:id="0" w:name="_GoBack"/>
      <w:bookmarkEnd w:id="0"/>
    </w:p>
    <w:tbl>
      <w:tblPr>
        <w:tblW w:w="8971" w:type="dxa"/>
        <w:tblInd w:w="-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524"/>
        <w:gridCol w:w="2384"/>
        <w:gridCol w:w="4063"/>
      </w:tblGrid>
      <w:tr w:rsidR="00DE4A9E" w:rsidTr="002528D7">
        <w:tc>
          <w:tcPr>
            <w:tcW w:w="2524" w:type="dxa"/>
            <w:tcBorders>
              <w:bottom w:val="single" w:sz="4" w:space="0" w:color="FFFFFF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4A9E" w:rsidRDefault="00DE4A9E" w:rsidP="002528D7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</w:rPr>
              <w:t>Sección</w:t>
            </w:r>
          </w:p>
        </w:tc>
        <w:tc>
          <w:tcPr>
            <w:tcW w:w="2384" w:type="dxa"/>
            <w:tcBorders>
              <w:bottom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Campo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503DA4">
            <w:pPr>
              <w:jc w:val="both"/>
            </w:pPr>
          </w:p>
        </w:tc>
      </w:tr>
      <w:tr w:rsidR="00DE4A9E" w:rsidTr="00CF27F2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Datos Generales del trámite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4A9E" w:rsidRPr="00780EBB" w:rsidRDefault="00423FCF" w:rsidP="002A17E6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En proceso</w:t>
            </w:r>
          </w:p>
        </w:tc>
      </w:tr>
      <w:tr w:rsidR="00DE4A9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9E" w:rsidRDefault="00DE4A9E" w:rsidP="002528D7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sz w:val="18"/>
                <w:szCs w:val="18"/>
              </w:rPr>
              <w:t>*Nombre oficial del trámite o servicio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4A9E" w:rsidRPr="008D3DC9" w:rsidRDefault="00423FCF" w:rsidP="008D33EC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Autorización expresa </w:t>
            </w:r>
            <w:r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para circular en los caminos y puentes de jurisdicción federal con configuraciones de </w:t>
            </w:r>
            <w:proofErr w:type="spellStart"/>
            <w:r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tractocamión</w:t>
            </w:r>
            <w:proofErr w:type="spellEnd"/>
            <w:r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doblemente articulado</w:t>
            </w: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.</w:t>
            </w:r>
          </w:p>
        </w:tc>
      </w:tr>
      <w:tr w:rsidR="00DE4A9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9E" w:rsidRDefault="00DE4A9E" w:rsidP="002528D7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sz w:val="18"/>
                <w:szCs w:val="18"/>
              </w:rPr>
              <w:t>*Nombre ciudadano del trámite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4A9E" w:rsidRPr="008D3DC9" w:rsidRDefault="00423FCF" w:rsidP="00503DA4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Autorización expresa </w:t>
            </w:r>
            <w:r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para circular en los caminos y puentes de jurisdicción federal con configuraciones de </w:t>
            </w:r>
            <w:proofErr w:type="spellStart"/>
            <w:r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tractocamión</w:t>
            </w:r>
            <w:proofErr w:type="spellEnd"/>
            <w:r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doblemente articulado</w:t>
            </w: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.</w:t>
            </w:r>
          </w:p>
        </w:tc>
      </w:tr>
      <w:tr w:rsidR="00DE4A9E" w:rsidTr="002528D7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9E" w:rsidRDefault="00DE4A9E" w:rsidP="002528D7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Pr="00152F6F" w:rsidRDefault="00DE4A9E" w:rsidP="002528D7">
            <w:r w:rsidRPr="00152F6F">
              <w:rPr>
                <w:rFonts w:ascii="Open Sans" w:eastAsia="Open Sans" w:hAnsi="Open Sans" w:cs="Open Sans"/>
                <w:sz w:val="18"/>
                <w:szCs w:val="18"/>
              </w:rPr>
              <w:t>Nombre de la modalidad (si existe)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4A9E" w:rsidRPr="00152F6F" w:rsidRDefault="00B467EB" w:rsidP="00503DA4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152F6F">
              <w:rPr>
                <w:rFonts w:ascii="Open Sans" w:eastAsia="Open Sans" w:hAnsi="Open Sans" w:cs="Open Sans"/>
                <w:sz w:val="18"/>
                <w:szCs w:val="18"/>
              </w:rPr>
              <w:t>Tractocamión</w:t>
            </w:r>
            <w:proofErr w:type="spellEnd"/>
          </w:p>
        </w:tc>
      </w:tr>
      <w:tr w:rsidR="00DE4A9E" w:rsidTr="0033474E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9E" w:rsidRDefault="00DE4A9E" w:rsidP="002528D7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que da origen al trámite: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82C96" w:rsidRDefault="00CF27F2" w:rsidP="002A17E6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E4859">
              <w:rPr>
                <w:rFonts w:ascii="Open Sans" w:eastAsia="Open Sans" w:hAnsi="Open Sans" w:cs="Open Sans"/>
                <w:sz w:val="18"/>
                <w:szCs w:val="18"/>
              </w:rPr>
              <w:t>Artículo 17-A, fracción II, del Reglamento de Autotransporte Federal.</w:t>
            </w:r>
          </w:p>
          <w:p w:rsidR="008C7BB5" w:rsidRPr="00780EBB" w:rsidRDefault="00CE4859" w:rsidP="002A17E6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</w:t>
            </w:r>
            <w:r w:rsidRPr="00CE4859">
              <w:rPr>
                <w:rFonts w:ascii="Open Sans" w:eastAsia="Open Sans" w:hAnsi="Open Sans" w:cs="Open Sans"/>
                <w:sz w:val="18"/>
                <w:szCs w:val="18"/>
              </w:rPr>
              <w:t>umerales 6.1.2.1.1 y 6.2.1.4.2 de la Norma Oficial Mexicana NOM-012-SCT-2-2017 Sobre el peso y dimensiones máximas con los que pueden circular los vehículos de autotransporte que transitan en las vías generales de comunicación de jurisdicción federal</w:t>
            </w:r>
            <w:r w:rsidR="008C7BB5" w:rsidRPr="001B4BA1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DE4A9E" w:rsidTr="003D2855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Descripción del trámite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sz w:val="18"/>
                <w:szCs w:val="18"/>
              </w:rPr>
              <w:t>Tipo de trámite o servicio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Pr="00780EBB" w:rsidRDefault="003E1D02" w:rsidP="00503DA4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E1D02">
              <w:rPr>
                <w:rFonts w:ascii="Open Sans" w:eastAsia="Open Sans" w:hAnsi="Open Sans" w:cs="Open Sans"/>
                <w:sz w:val="18"/>
                <w:szCs w:val="18"/>
              </w:rPr>
              <w:t>Autorizaciones, certificados, concesiones, informes, registros y avisos</w:t>
            </w:r>
          </w:p>
        </w:tc>
      </w:tr>
      <w:tr w:rsidR="00DE4A9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9E" w:rsidRDefault="00DE4A9E" w:rsidP="002528D7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sz w:val="18"/>
                <w:szCs w:val="18"/>
              </w:rPr>
              <w:t>* ¿En qué casos se debe presentar el trámite?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7BB5" w:rsidRPr="00152F6F" w:rsidRDefault="0040058D" w:rsidP="002A17E6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Cuando un</w:t>
            </w:r>
            <w:r w:rsidR="002A17E6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permisionario </w:t>
            </w:r>
            <w:r w:rsidR="00CE485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de autotransporte federal </w:t>
            </w:r>
            <w:r w:rsidR="00503DD7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propietario de un</w:t>
            </w:r>
            <w:r w:rsidR="00B467EB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467EB" w:rsidRPr="00152F6F">
              <w:rPr>
                <w:rFonts w:ascii="Open Sans" w:eastAsia="Open Sans" w:hAnsi="Open Sans" w:cs="Open Sans"/>
                <w:sz w:val="18"/>
                <w:szCs w:val="18"/>
              </w:rPr>
              <w:t>Tractocamión</w:t>
            </w:r>
            <w:proofErr w:type="spellEnd"/>
            <w:r w:rsidR="00B467EB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r w:rsidR="00CE485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que ya cuente con permiso y placa </w:t>
            </w:r>
            <w:r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esté interesad</w:t>
            </w:r>
            <w:r w:rsidR="002A17E6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o</w:t>
            </w:r>
            <w:r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r w:rsidR="002A17E6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en </w:t>
            </w:r>
            <w:r w:rsidR="00423FCF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circular en los caminos y puentes de jurisdicción federal </w:t>
            </w:r>
            <w:r w:rsidR="00CE485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en </w:t>
            </w:r>
            <w:r w:rsidR="00423FCF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configuraciones de </w:t>
            </w:r>
            <w:proofErr w:type="spellStart"/>
            <w:r w:rsidR="00423FCF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tractocamión</w:t>
            </w:r>
            <w:proofErr w:type="spellEnd"/>
            <w:r w:rsidR="00423FCF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doblemente articulado.</w:t>
            </w:r>
          </w:p>
        </w:tc>
      </w:tr>
      <w:tr w:rsidR="00DE4A9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9E" w:rsidRDefault="00DE4A9E" w:rsidP="002528D7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sz w:val="18"/>
                <w:szCs w:val="18"/>
              </w:rPr>
              <w:t>* ¿Quién puede solicitar el trámite?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F65" w:rsidRPr="00152F6F" w:rsidRDefault="00932F65" w:rsidP="00932F65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Persona</w:t>
            </w:r>
            <w:r w:rsidR="008D3DC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s</w:t>
            </w:r>
            <w:r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r w:rsidR="00C952C3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físicas</w:t>
            </w:r>
            <w:r w:rsidR="002A17E6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o morales.</w:t>
            </w:r>
          </w:p>
          <w:p w:rsidR="008041C9" w:rsidRPr="00152F6F" w:rsidRDefault="00C952C3" w:rsidP="00082C96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Apoderado</w:t>
            </w:r>
            <w:r w:rsidR="00082C96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r w:rsidR="002A17E6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o representante </w:t>
            </w:r>
            <w:r w:rsidR="00932F65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legal.</w:t>
            </w:r>
          </w:p>
        </w:tc>
      </w:tr>
      <w:tr w:rsidR="00DE4A9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A9E" w:rsidRDefault="00DE4A9E" w:rsidP="002528D7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4A9E" w:rsidRDefault="00DE4A9E" w:rsidP="002528D7">
            <w:r>
              <w:rPr>
                <w:rFonts w:ascii="Open Sans" w:eastAsia="Open Sans" w:hAnsi="Open Sans" w:cs="Open Sans"/>
                <w:sz w:val="18"/>
                <w:szCs w:val="18"/>
              </w:rPr>
              <w:t>* Descripción Ciudadana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17E8" w:rsidRPr="00152F6F" w:rsidRDefault="0033474E" w:rsidP="00503DA4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52F6F">
              <w:rPr>
                <w:rFonts w:ascii="Open Sans" w:eastAsia="Open Sans" w:hAnsi="Open Sans" w:cs="Open Sans"/>
                <w:sz w:val="18"/>
                <w:szCs w:val="18"/>
              </w:rPr>
              <w:t xml:space="preserve">Los permisionarios podrán solicitar a la Secretaría de Comunicaciones y Transportes </w:t>
            </w:r>
            <w:r w:rsidR="00931D69" w:rsidRPr="00152F6F">
              <w:rPr>
                <w:rFonts w:ascii="Open Sans" w:eastAsia="Open Sans" w:hAnsi="Open Sans" w:cs="Open Sans"/>
                <w:sz w:val="18"/>
                <w:szCs w:val="18"/>
              </w:rPr>
              <w:t xml:space="preserve">Autorización expresa para circular en </w:t>
            </w:r>
            <w:r w:rsidR="00931D6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configuraciones de </w:t>
            </w:r>
            <w:proofErr w:type="spellStart"/>
            <w:r w:rsidR="00931D6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tractocamión</w:t>
            </w:r>
            <w:proofErr w:type="spellEnd"/>
            <w:r w:rsidR="00931D6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doblemente articulado</w:t>
            </w:r>
            <w:r w:rsidR="00B467EB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r w:rsidR="00503DD7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con</w:t>
            </w:r>
            <w:r w:rsidR="00B467EB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467EB" w:rsidRPr="00152F6F">
              <w:rPr>
                <w:rFonts w:ascii="Open Sans" w:eastAsia="Open Sans" w:hAnsi="Open Sans" w:cs="Open Sans"/>
                <w:sz w:val="18"/>
                <w:szCs w:val="18"/>
              </w:rPr>
              <w:t>Tractocamión</w:t>
            </w:r>
            <w:proofErr w:type="spellEnd"/>
            <w:r w:rsidR="00931D69" w:rsidRPr="00152F6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.</w:t>
            </w:r>
          </w:p>
        </w:tc>
      </w:tr>
      <w:tr w:rsidR="00CF27F2" w:rsidTr="00D72C4D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2" w:rsidRDefault="00CF27F2" w:rsidP="00CF27F2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sz w:val="18"/>
                <w:szCs w:val="18"/>
              </w:rPr>
              <w:t>¿Qué efectos tendría la eliminación de este trámite?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F27F2" w:rsidRPr="00780EBB" w:rsidRDefault="00CF27F2" w:rsidP="00CF27F2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3474E">
              <w:rPr>
                <w:rFonts w:ascii="Open Sans" w:eastAsia="Open Sans" w:hAnsi="Open Sans" w:cs="Open Sans"/>
                <w:sz w:val="18"/>
                <w:szCs w:val="18"/>
              </w:rPr>
              <w:t xml:space="preserve">Los permisionarios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no podrán obtener </w:t>
            </w:r>
            <w:r w:rsidR="0077130F">
              <w:rPr>
                <w:rFonts w:ascii="Open Sans" w:eastAsia="Open Sans" w:hAnsi="Open Sans" w:cs="Open Sans"/>
                <w:sz w:val="18"/>
                <w:szCs w:val="18"/>
              </w:rPr>
              <w:t xml:space="preserve">Autorización expresa para circular en </w:t>
            </w:r>
            <w:r w:rsidR="0077130F"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configuraciones de </w:t>
            </w:r>
            <w:proofErr w:type="spellStart"/>
            <w:r w:rsidR="0077130F"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tractocamión</w:t>
            </w:r>
            <w:proofErr w:type="spellEnd"/>
            <w:r w:rsidR="0077130F" w:rsidRPr="00423FCF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doblemente articulado</w:t>
            </w:r>
          </w:p>
        </w:tc>
      </w:tr>
      <w:tr w:rsidR="00CF27F2" w:rsidTr="00CF27F2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Sinónimos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sz w:val="18"/>
                <w:szCs w:val="18"/>
              </w:rPr>
              <w:t>* Sinónimos (palabras clave de búsqueda):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Pr="00780EBB" w:rsidRDefault="00CF27F2" w:rsidP="00CF27F2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A2DB3">
              <w:rPr>
                <w:rFonts w:ascii="Open Sans" w:eastAsia="Open Sans" w:hAnsi="Open Sans" w:cs="Open Sans"/>
                <w:sz w:val="18"/>
                <w:szCs w:val="18"/>
              </w:rPr>
              <w:t xml:space="preserve">Alta, </w:t>
            </w:r>
            <w:r w:rsidR="009B4E74" w:rsidRPr="00EA2DB3">
              <w:rPr>
                <w:rFonts w:ascii="Open Sans" w:eastAsia="Open Sans" w:hAnsi="Open Sans" w:cs="Open Sans"/>
                <w:sz w:val="18"/>
                <w:szCs w:val="18"/>
              </w:rPr>
              <w:t xml:space="preserve">configuración, </w:t>
            </w:r>
            <w:proofErr w:type="spellStart"/>
            <w:r w:rsidR="009B4E74" w:rsidRPr="00EA2DB3">
              <w:rPr>
                <w:rFonts w:ascii="Open Sans" w:eastAsia="Open Sans" w:hAnsi="Open Sans" w:cs="Open Sans"/>
                <w:sz w:val="18"/>
                <w:szCs w:val="18"/>
              </w:rPr>
              <w:t>tractocamión</w:t>
            </w:r>
            <w:proofErr w:type="spellEnd"/>
            <w:r w:rsidR="00544A29" w:rsidRPr="00EA2DB3">
              <w:rPr>
                <w:rFonts w:ascii="Open Sans" w:eastAsia="Open Sans" w:hAnsi="Open Sans" w:cs="Open Sans"/>
                <w:sz w:val="18"/>
                <w:szCs w:val="18"/>
              </w:rPr>
              <w:t>, carga, Autorización</w:t>
            </w:r>
            <w:r w:rsidR="00EA2DB3">
              <w:rPr>
                <w:rFonts w:ascii="Open Sans" w:eastAsia="Open Sans" w:hAnsi="Open Sans" w:cs="Open Sans"/>
                <w:sz w:val="18"/>
                <w:szCs w:val="18"/>
              </w:rPr>
              <w:t xml:space="preserve"> Expresa.</w:t>
            </w:r>
          </w:p>
        </w:tc>
      </w:tr>
      <w:tr w:rsidR="00CF27F2" w:rsidTr="00CF27F2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Personas relacionadas con el trámite (Funcionario público responsable)</w:t>
            </w:r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br/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sz w:val="18"/>
                <w:szCs w:val="18"/>
              </w:rPr>
              <w:t>* Nombre(s)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Pr="00780EBB" w:rsidRDefault="00FE352B" w:rsidP="00CF27F2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Juan</w:t>
            </w:r>
          </w:p>
        </w:tc>
      </w:tr>
      <w:tr w:rsidR="00CF27F2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2" w:rsidRDefault="00CF27F2" w:rsidP="00CF27F2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sz w:val="18"/>
                <w:szCs w:val="18"/>
              </w:rPr>
              <w:t>* Apellido paterno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Pr="00780EBB" w:rsidRDefault="00FE352B" w:rsidP="00CF27F2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Tello</w:t>
            </w:r>
          </w:p>
        </w:tc>
      </w:tr>
      <w:tr w:rsidR="00CF27F2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2" w:rsidRDefault="00CF27F2" w:rsidP="00CF27F2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sz w:val="18"/>
                <w:szCs w:val="18"/>
              </w:rPr>
              <w:t>* Apellido materno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Pr="00780EBB" w:rsidRDefault="00CF27F2" w:rsidP="00CF27F2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="00FE352B">
              <w:rPr>
                <w:rFonts w:ascii="Open Sans" w:eastAsia="Open Sans" w:hAnsi="Open Sans" w:cs="Open Sans"/>
                <w:sz w:val="18"/>
                <w:szCs w:val="18"/>
              </w:rPr>
              <w:t>amírez</w:t>
            </w:r>
          </w:p>
        </w:tc>
      </w:tr>
      <w:tr w:rsidR="00CF27F2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7F2" w:rsidRDefault="00CF27F2" w:rsidP="00CF27F2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Default="00CF27F2" w:rsidP="00CF27F2">
            <w:r>
              <w:rPr>
                <w:rFonts w:ascii="Open Sans" w:eastAsia="Open Sans" w:hAnsi="Open Sans" w:cs="Open Sans"/>
                <w:sz w:val="18"/>
                <w:szCs w:val="18"/>
              </w:rPr>
              <w:t>* Cargo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F27F2" w:rsidRPr="00780EBB" w:rsidRDefault="00CF27F2" w:rsidP="00CF27F2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Director General Adjunto de Trá</w:t>
            </w:r>
            <w:r w:rsidRPr="000C377C">
              <w:rPr>
                <w:rFonts w:ascii="Open Sans" w:eastAsia="Open Sans" w:hAnsi="Open Sans" w:cs="Open Sans"/>
                <w:sz w:val="18"/>
                <w:szCs w:val="18"/>
              </w:rPr>
              <w:t>mites de Servicios de Autotransporte Federal</w:t>
            </w:r>
            <w:r w:rsidR="00FE352B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Correo electrónico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780EBB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84B5B">
              <w:rPr>
                <w:rFonts w:ascii="Open Sans" w:eastAsia="Open Sans" w:hAnsi="Open Sans" w:cs="Open Sans"/>
                <w:sz w:val="18"/>
                <w:szCs w:val="18"/>
              </w:rPr>
              <w:t>jua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n</w:t>
            </w:r>
            <w:r w:rsidRPr="00084B5B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tello</w:t>
            </w:r>
            <w:r w:rsidRPr="00084B5B">
              <w:rPr>
                <w:rFonts w:ascii="Open Sans" w:eastAsia="Open Sans" w:hAnsi="Open Sans" w:cs="Open Sans"/>
                <w:sz w:val="18"/>
                <w:szCs w:val="18"/>
              </w:rPr>
              <w:t>@sct.gob.mx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Teléfono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780EBB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D3DC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55 57239300 Ext: </w:t>
            </w:r>
            <w:r w:rsidRPr="00C30E02">
              <w:rPr>
                <w:rFonts w:ascii="Open Sans" w:eastAsia="Open Sans" w:hAnsi="Open Sans" w:cs="Open Sans"/>
                <w:sz w:val="18"/>
                <w:szCs w:val="18"/>
              </w:rPr>
              <w:t>20011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8D3DC9" w:rsidRDefault="007968BE" w:rsidP="007968BE">
            <w:pPr>
              <w:rPr>
                <w:color w:val="auto"/>
              </w:rPr>
            </w:pPr>
            <w:r w:rsidRPr="008D3DC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Teléfono adicional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8D3DC9" w:rsidRDefault="007968BE" w:rsidP="007968BE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 w:rsidRPr="008D3DC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50119219</w:t>
            </w:r>
          </w:p>
        </w:tc>
      </w:tr>
      <w:tr w:rsidR="007968BE" w:rsidTr="008D2CC7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Canales de atención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*Nivel de digitalización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780EBB" w:rsidRDefault="00503DD7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</w:tr>
      <w:tr w:rsidR="007968BE" w:rsidTr="008D2CC7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100% Digitalizado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780EBB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Canales de atención (medios de presentación del trámite)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903512" w:rsidRDefault="007968BE" w:rsidP="00774845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 w:rsidRPr="007C5C09">
              <w:rPr>
                <w:rFonts w:ascii="Open Sans" w:eastAsia="Open Sans" w:hAnsi="Open Sans" w:cs="Open Sans"/>
                <w:b/>
                <w:color w:val="auto"/>
                <w:sz w:val="18"/>
                <w:szCs w:val="18"/>
              </w:rPr>
              <w:t xml:space="preserve">Presencial, </w:t>
            </w:r>
            <w:r w:rsidRPr="007C5C0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en la Dirección General de Autotransporte Federal o en el Departamento de Autotransporte Federal del Centro SCT que corresponda al domicilio del solicitante.</w:t>
            </w:r>
            <w:r w:rsidRPr="007C5C09">
              <w:rPr>
                <w:rFonts w:ascii="Open Sans" w:eastAsia="Open Sans" w:hAnsi="Open Sans" w:cs="Open Sans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de canales de atención: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7BB5" w:rsidRPr="001B4BA1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4BA1">
              <w:rPr>
                <w:rFonts w:ascii="Open Sans" w:eastAsia="Open Sans" w:hAnsi="Open Sans" w:cs="Open Sans"/>
                <w:sz w:val="18"/>
                <w:szCs w:val="18"/>
              </w:rPr>
              <w:t>Artículos 15, 42 y 69-C de la Ley Federal de Procedimiento Administrativo.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Enlace o link al sitio en línea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780EBB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17E8">
              <w:rPr>
                <w:rFonts w:ascii="Open Sans" w:eastAsia="Open Sans" w:hAnsi="Open Sans" w:cs="Open Sans"/>
                <w:sz w:val="18"/>
                <w:szCs w:val="18"/>
              </w:rPr>
              <w:t>http://www.sct.gob.mx/transporte-y-medicina-preventiva/autotransporte-federal/tramites-y-servicios/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Enumera las acciones que el usuario tiene que hacer para realizar el trámite: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Presencial:</w:t>
            </w:r>
          </w:p>
          <w:p w:rsidR="007968BE" w:rsidRPr="00774845" w:rsidRDefault="007968BE" w:rsidP="00774845">
            <w:pPr>
              <w:rPr>
                <w:rFonts w:ascii="Calibri" w:eastAsiaTheme="minorHAnsi" w:hAnsi="Calibri" w:cs="Calibri"/>
                <w:color w:val="auto"/>
              </w:rPr>
            </w:pPr>
            <w:r w:rsidRPr="00D07C92">
              <w:rPr>
                <w:rFonts w:ascii="Open Sans" w:eastAsia="Open Sans" w:hAnsi="Open Sans" w:cs="Open Sans"/>
                <w:sz w:val="18"/>
                <w:szCs w:val="18"/>
              </w:rPr>
              <w:t>Llenar pre-registro con los datos solicitados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, imprimirlo y firmarlo autógrafamente, ingresando </w:t>
            </w:r>
            <w:r w:rsidRPr="00774845">
              <w:rPr>
                <w:rFonts w:ascii="Open Sans" w:eastAsia="Open Sans" w:hAnsi="Open Sans" w:cs="Open Sans"/>
                <w:sz w:val="18"/>
                <w:szCs w:val="18"/>
              </w:rPr>
              <w:t xml:space="preserve">a </w:t>
            </w:r>
            <w:hyperlink r:id="rId7" w:history="1">
              <w:r w:rsidR="00774845" w:rsidRPr="00774845">
                <w:rPr>
                  <w:rStyle w:val="Hipervnculo"/>
                  <w:rFonts w:ascii="Open Sans" w:hAnsi="Open Sans" w:cs="Open Sans"/>
                  <w:sz w:val="18"/>
                  <w:szCs w:val="18"/>
                </w:rPr>
                <w:t>http://www.sct.gob.mx/transporte-y-medicina-preventiva/autotransporte-federal/tramites-y-servicios/Autorizacion-para-Doble-Remolque/</w:t>
              </w:r>
            </w:hyperlink>
            <w:r w:rsidRPr="00774845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  <w:p w:rsidR="007968BE" w:rsidRPr="00D07C92" w:rsidRDefault="007968BE" w:rsidP="007968BE">
            <w:pPr>
              <w:pStyle w:val="Prrafodelista"/>
              <w:numPr>
                <w:ilvl w:val="0"/>
                <w:numId w:val="1"/>
              </w:numPr>
              <w:ind w:left="192" w:hanging="102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7C92">
              <w:rPr>
                <w:rFonts w:ascii="Open Sans" w:eastAsia="Open Sans" w:hAnsi="Open Sans" w:cs="Open Sans"/>
                <w:sz w:val="18"/>
                <w:szCs w:val="18"/>
              </w:rPr>
              <w:t>Presentar el pre-registro en la ventanilla de atención con una copia y original de los documentos requeridos.</w:t>
            </w:r>
          </w:p>
          <w:p w:rsidR="007968BE" w:rsidRPr="00D07C92" w:rsidRDefault="007968BE" w:rsidP="007968BE">
            <w:pPr>
              <w:pStyle w:val="Prrafodelista"/>
              <w:numPr>
                <w:ilvl w:val="0"/>
                <w:numId w:val="1"/>
              </w:numPr>
              <w:ind w:left="192" w:hanging="102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7C92">
              <w:rPr>
                <w:rFonts w:ascii="Open Sans" w:eastAsia="Open Sans" w:hAnsi="Open Sans" w:cs="Open Sans"/>
                <w:sz w:val="18"/>
                <w:szCs w:val="18"/>
              </w:rPr>
              <w:t>Obtener el acuse de recibo en ventanilla.</w:t>
            </w:r>
          </w:p>
          <w:p w:rsidR="007968BE" w:rsidRPr="00544A29" w:rsidRDefault="007968BE" w:rsidP="00B467EB">
            <w:pPr>
              <w:pStyle w:val="Prrafodelista"/>
              <w:numPr>
                <w:ilvl w:val="0"/>
                <w:numId w:val="1"/>
              </w:numPr>
              <w:ind w:left="192" w:hanging="102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7C92">
              <w:rPr>
                <w:rFonts w:ascii="Open Sans" w:eastAsia="Open Sans" w:hAnsi="Open Sans" w:cs="Open Sans"/>
                <w:sz w:val="18"/>
                <w:szCs w:val="18"/>
              </w:rPr>
              <w:t>Presentarse en la fecha y hora indicada por el servidor público para recoger la resolución.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Plazo máximo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81147B" w:rsidRDefault="007968BE" w:rsidP="007968B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Plazo máximo: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6F6F1E" w:rsidRDefault="00CB0418" w:rsidP="007968BE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4</w:t>
            </w:r>
            <w:r w:rsidR="00B74D1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día</w:t>
            </w: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s</w:t>
            </w:r>
            <w:r w:rsidR="00B74D1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hábil</w:t>
            </w: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es</w:t>
            </w:r>
            <w:r w:rsidR="00B74D1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del plazo de respuesta: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6F6F1E" w:rsidRDefault="007968BE" w:rsidP="007968BE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 w:rsidRPr="006F6F1E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Artículo 15 del Reglamento de Autotransporte Federal y Servicios Auxiliares.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Plazo de prevención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*Plazo de prevención: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6F6F1E" w:rsidRDefault="000A61E0" w:rsidP="007968BE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2 </w:t>
            </w:r>
            <w:r w:rsidR="00B74D19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día hábil.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del plazo de prevención: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6F6F1E" w:rsidRDefault="007968BE" w:rsidP="007968BE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 w:rsidRPr="006F6F1E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Artículo 17-A de la Ley Federal de Procedimiento Administrativo.</w:t>
            </w:r>
          </w:p>
        </w:tc>
      </w:tr>
      <w:tr w:rsidR="007968BE" w:rsidTr="00CF27F2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Plazo real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*Plazo real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6F6F1E" w:rsidRDefault="003D2FF9" w:rsidP="007968BE">
            <w:pPr>
              <w:jc w:val="both"/>
              <w:rPr>
                <w:rFonts w:ascii="Open Sans" w:eastAsia="Open Sans" w:hAnsi="Open Sans" w:cs="Open Sans"/>
                <w:color w:val="auto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1</w:t>
            </w:r>
            <w:r w:rsidR="001A48DD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 </w:t>
            </w:r>
            <w:r w:rsidR="00C35878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día hábil.</w:t>
            </w:r>
          </w:p>
        </w:tc>
      </w:tr>
      <w:tr w:rsidR="007968BE" w:rsidTr="00CF27F2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Tipo de resolución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*Tipo de resolución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C35878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Autorización E</w:t>
            </w:r>
            <w:r w:rsidR="00B74D19">
              <w:rPr>
                <w:rFonts w:ascii="Open Sans" w:eastAsia="Open Sans" w:hAnsi="Open Sans" w:cs="Open Sans"/>
                <w:sz w:val="18"/>
                <w:szCs w:val="18"/>
              </w:rPr>
              <w:t>xpresa.</w:t>
            </w:r>
          </w:p>
        </w:tc>
      </w:tr>
      <w:tr w:rsidR="007968BE" w:rsidTr="00CF27F2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Criterios de resolución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Criterio de resolución del trámite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Que el interesado cumpla con el total de los requisitos establecidos.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Montos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2E7940" w:rsidRDefault="007968BE" w:rsidP="007968B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Monto de los derechos, productos y aprovechamientos aplicables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B6041" w:rsidRDefault="00B74D19" w:rsidP="00B74D19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Trámite gratuito.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de montos: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1D2D1A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 aplica.</w:t>
            </w:r>
          </w:p>
        </w:tc>
      </w:tr>
      <w:tr w:rsidR="007968BE" w:rsidTr="000C377C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Comentarios generales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Consultas frecuentes del ciudadano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E33D8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¿Cuáles son los requisitos para este trámite? ¿A dónde acudo para realizar mi trámite? 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Volumen de consultas anuales (frecuencia)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E33D8D" w:rsidRDefault="002D10C0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EA7288">
              <w:rPr>
                <w:rFonts w:ascii="Open Sans" w:eastAsia="Open Sans" w:hAnsi="Open Sans" w:cs="Open Sans"/>
                <w:sz w:val="18"/>
                <w:szCs w:val="18"/>
              </w:rPr>
              <w:t>00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Quejas frecuentes del ciudadano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E33D8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Falta de información referente al trámite.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Volumen de molestias o quejas anuales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E33D8D" w:rsidRDefault="002D10C0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80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Comentarios respecto al trámite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973303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Se otorgará </w:t>
            </w:r>
            <w:r w:rsidR="00503DD7"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 xml:space="preserve">Autorización Expresa </w:t>
            </w:r>
            <w:r>
              <w:rPr>
                <w:rFonts w:ascii="Open Sans" w:eastAsia="Open Sans" w:hAnsi="Open Sans" w:cs="Open Sans"/>
                <w:color w:val="auto"/>
                <w:sz w:val="18"/>
                <w:szCs w:val="18"/>
              </w:rPr>
              <w:t>por vehículo.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Notas adicionales del trámite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6B4BE6">
              <w:rPr>
                <w:rFonts w:ascii="Open Sans" w:eastAsia="Open Sans" w:hAnsi="Open Sans" w:cs="Open Sans"/>
                <w:sz w:val="18"/>
                <w:szCs w:val="18"/>
              </w:rPr>
              <w:t>Los plazos señalados comenzarán a correr 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6B4BE6">
              <w:rPr>
                <w:rFonts w:ascii="Open Sans" w:eastAsia="Open Sans" w:hAnsi="Open Sans" w:cs="Open Sans"/>
                <w:sz w:val="18"/>
                <w:szCs w:val="18"/>
              </w:rPr>
              <w:t xml:space="preserve">partir de que se encuentre debidamente </w:t>
            </w:r>
            <w:proofErr w:type="spellStart"/>
            <w:r w:rsidRPr="006B4BE6">
              <w:rPr>
                <w:rFonts w:ascii="Open Sans" w:eastAsia="Open Sans" w:hAnsi="Open Sans" w:cs="Open Sans"/>
                <w:sz w:val="18"/>
                <w:szCs w:val="18"/>
              </w:rPr>
              <w:t>requisitada</w:t>
            </w:r>
            <w:proofErr w:type="spellEnd"/>
            <w:r w:rsidRPr="006B4BE6">
              <w:rPr>
                <w:rFonts w:ascii="Open Sans" w:eastAsia="Open Sans" w:hAnsi="Open Sans" w:cs="Open Sans"/>
                <w:sz w:val="18"/>
                <w:szCs w:val="18"/>
              </w:rPr>
              <w:t xml:space="preserve"> la solicitud.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Más información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68BE" w:rsidTr="000C377C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Procesos económicos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Subsector económico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C1178">
              <w:rPr>
                <w:rFonts w:ascii="Open Sans" w:eastAsia="Open Sans" w:hAnsi="Open Sans" w:cs="Open Sans"/>
                <w:sz w:val="18"/>
                <w:szCs w:val="18"/>
              </w:rPr>
              <w:t>Servicios relacionados con el transporte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Proceso económico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5D46">
              <w:rPr>
                <w:rFonts w:ascii="Open Sans" w:eastAsia="Open Sans" w:hAnsi="Open Sans" w:cs="Open Sans"/>
                <w:sz w:val="18"/>
                <w:szCs w:val="18"/>
              </w:rPr>
              <w:t>Autotransporte federal</w:t>
            </w:r>
          </w:p>
        </w:tc>
      </w:tr>
      <w:tr w:rsidR="007968BE" w:rsidTr="000C377C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TIC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¿El trámite cuenta con un sistema de gestión del trámite?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Sí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Nombre descriptivo del sistema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Sistema Institucional de Autotransporte Federal</w:t>
            </w:r>
            <w:r w:rsidR="00C35A00">
              <w:rPr>
                <w:rFonts w:ascii="Open Sans" w:eastAsia="Open Sans" w:hAnsi="Open Sans" w:cs="Open Sans"/>
                <w:sz w:val="18"/>
                <w:szCs w:val="18"/>
              </w:rPr>
              <w:t xml:space="preserve"> (SIAF).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Tecnología del sistema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JEE/Java-Servidor de aplicaciones comercial (Oracle, IBM…)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Grado de adaptación del sistema para envío/recepción de solicitudes electrónicas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503DD7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Bajo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Esfuerzo y complejidad de realizar modificaciones al sistema para recibir y enviar solicitudes electrónicas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Bajo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Criticidad del sistema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Sí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* Disponibilidad de servicio mediante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Webservice</w:t>
            </w:r>
            <w:proofErr w:type="spellEnd"/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Sí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Latitud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19.380891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Longitud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-99.177184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Peticiones diarias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0B7E35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100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¿Es posible iniciar el trámite por Internet?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Sí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¿Es posible cargar o subir documentos en línea?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2D10C0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¿Se puede dar seguimiento al trámite por Internet?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2D10C0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¿La resolución o respuesta es por Internet?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¿Utiliza firma electrónica avanzada?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2D10C0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¿Utiliza Clave RUPA?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</w:p>
        </w:tc>
      </w:tr>
      <w:tr w:rsidR="007968BE" w:rsidTr="000C377C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Hechos vitales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Hechos vitales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68BE" w:rsidTr="000C377C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Categorías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Categorías agregadas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85D46">
              <w:rPr>
                <w:rFonts w:ascii="Open Sans" w:eastAsia="Open Sans" w:hAnsi="Open Sans" w:cs="Open Sans"/>
                <w:sz w:val="18"/>
                <w:szCs w:val="18"/>
              </w:rPr>
              <w:t>Transporte terrestre</w:t>
            </w:r>
          </w:p>
        </w:tc>
      </w:tr>
      <w:tr w:rsidR="007968BE" w:rsidTr="00CF27F2"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lastRenderedPageBreak/>
              <w:t>Procesos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Selecciona el tipo de trámite o servicio al que corresponda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C76DC8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Autorización.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Autorizaciones, certificados, concesiones, informes, registros y avisos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Autorización</w:t>
            </w:r>
          </w:p>
        </w:tc>
      </w:tr>
      <w:tr w:rsidR="007968BE" w:rsidTr="000C377C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¿El trámite es de resolución inmediata?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4276D" w:rsidRDefault="0019281B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Si</w:t>
            </w:r>
          </w:p>
        </w:tc>
      </w:tr>
      <w:tr w:rsidR="007968BE" w:rsidTr="00CF27F2"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¿En qué momento se realiza el pago?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376D38" w:rsidRDefault="0019281B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Trámite gratuito.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Documentos / Requisitos de entrada al trámite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Documentos agregados (Datos y documentos solicitados)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281B" w:rsidRPr="0019281B" w:rsidRDefault="0019281B" w:rsidP="001A5DA3">
            <w:pPr>
              <w:pStyle w:val="Prrafodelista"/>
              <w:numPr>
                <w:ilvl w:val="0"/>
                <w:numId w:val="3"/>
              </w:numPr>
              <w:tabs>
                <w:tab w:val="left" w:pos="3730"/>
              </w:tabs>
              <w:spacing w:line="240" w:lineRule="auto"/>
              <w:ind w:left="193" w:right="247" w:hanging="193"/>
              <w:contextualSpacing w:val="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9281B">
              <w:rPr>
                <w:rFonts w:ascii="Open Sans" w:eastAsia="Open Sans" w:hAnsi="Open Sans" w:cs="Open Sans"/>
                <w:sz w:val="18"/>
                <w:szCs w:val="18"/>
              </w:rPr>
              <w:t xml:space="preserve">En caso de </w:t>
            </w:r>
            <w:proofErr w:type="spellStart"/>
            <w:r w:rsidRPr="0019281B">
              <w:rPr>
                <w:rFonts w:ascii="Open Sans" w:eastAsia="Open Sans" w:hAnsi="Open Sans" w:cs="Open Sans"/>
                <w:sz w:val="18"/>
                <w:szCs w:val="18"/>
              </w:rPr>
              <w:t>Tractocamión</w:t>
            </w:r>
            <w:proofErr w:type="spellEnd"/>
            <w:r w:rsidRPr="0019281B">
              <w:rPr>
                <w:rFonts w:ascii="Open Sans" w:eastAsia="Open Sans" w:hAnsi="Open Sans" w:cs="Open Sans"/>
                <w:sz w:val="18"/>
                <w:szCs w:val="18"/>
              </w:rPr>
              <w:t xml:space="preserve"> la Autorización Expresa se otorgará a los permis</w:t>
            </w:r>
            <w:r w:rsidR="008E4E41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19281B">
              <w:rPr>
                <w:rFonts w:ascii="Open Sans" w:eastAsia="Open Sans" w:hAnsi="Open Sans" w:cs="Open Sans"/>
                <w:sz w:val="18"/>
                <w:szCs w:val="18"/>
              </w:rPr>
              <w:t xml:space="preserve">onarios de autotransporte federal que cumplan con lo siguiente: </w:t>
            </w:r>
          </w:p>
          <w:p w:rsidR="0019281B" w:rsidRPr="0019281B" w:rsidRDefault="0019281B" w:rsidP="0019281B">
            <w:pPr>
              <w:ind w:left="120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774845" w:rsidRDefault="00C25227" w:rsidP="00CE4859">
            <w:pPr>
              <w:pStyle w:val="Prrafodelista"/>
              <w:numPr>
                <w:ilvl w:val="1"/>
                <w:numId w:val="4"/>
              </w:numPr>
              <w:rPr>
                <w:rFonts w:ascii="Open Sans" w:eastAsia="Open Sans" w:hAnsi="Open Sans" w:cs="Open Sans"/>
                <w:sz w:val="16"/>
                <w:szCs w:val="18"/>
              </w:rPr>
            </w:pPr>
            <w:r>
              <w:rPr>
                <w:rFonts w:ascii="Open Sans" w:eastAsia="Open Sans" w:hAnsi="Open Sans" w:cs="Open Sans"/>
                <w:sz w:val="16"/>
                <w:szCs w:val="18"/>
              </w:rPr>
              <w:t>Solicitud de trámite;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tabs>
                <w:tab w:val="left" w:pos="477"/>
              </w:tabs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 xml:space="preserve">Dictamen de </w:t>
            </w:r>
            <w:r w:rsidR="00CF1D28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condiciones físico-mecánica vigente</w:t>
            </w: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;</w:t>
            </w:r>
          </w:p>
          <w:p w:rsidR="00774845" w:rsidRPr="001A5DA3" w:rsidRDefault="00C25227" w:rsidP="00774845">
            <w:pPr>
              <w:pStyle w:val="Texto"/>
              <w:numPr>
                <w:ilvl w:val="1"/>
                <w:numId w:val="4"/>
              </w:numPr>
              <w:tabs>
                <w:tab w:val="left" w:pos="477"/>
              </w:tabs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 xml:space="preserve">Certificado </w:t>
            </w:r>
            <w:r w:rsidR="00774845"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de baja e</w:t>
            </w:r>
            <w:r w:rsidR="00CF1D28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misión de contaminantes vigente</w:t>
            </w:r>
            <w:r w:rsidR="00774845"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Motor electrónico HP mínimo;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Torque mínimo</w:t>
            </w:r>
            <w:r w:rsidR="00C25227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 xml:space="preserve"> (lb-pie)</w:t>
            </w: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Capacidad mínima de los ejes de tracción (lb);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Freno auxiliar de motor o retardador o freno libre de fricción;</w:t>
            </w:r>
          </w:p>
          <w:p w:rsidR="00774845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Sistema antibloqueo para frenos (ABS);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tabs>
                <w:tab w:val="left" w:pos="760"/>
              </w:tabs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Suspensión de aire (excepto eje direccional-delantero);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Cámaras de frenado de doble acción (estacionamiento y servicio), excepto en el eje direccional;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Dispositivo regulador de la velocidad (vehículo gobernado en su velocidad a través de la computadora del motor hasta una velocidad máxima de 80 km/</w:t>
            </w:r>
            <w:proofErr w:type="spellStart"/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hr</w:t>
            </w:r>
            <w:proofErr w:type="spellEnd"/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);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Espejos auxiliares en la parte delantera, ubicados en las salpicaderas (guarda fangos) y/o cubierta del motor, dependiendo del diseño de la carrocería o un elemento que permita la reducc</w:t>
            </w:r>
            <w:r w:rsidR="00C25227">
              <w:rPr>
                <w:rFonts w:ascii="Open Sans" w:eastAsia="Open Sans" w:hAnsi="Open Sans" w:cs="Open Sans"/>
                <w:color w:val="000000"/>
                <w:sz w:val="16"/>
                <w:szCs w:val="16"/>
                <w:lang w:eastAsia="es-MX"/>
              </w:rPr>
              <w:t>ión de puntos ciegos;</w:t>
            </w:r>
          </w:p>
          <w:p w:rsidR="00774845" w:rsidRPr="001A5DA3" w:rsidRDefault="00774845" w:rsidP="00774845">
            <w:pPr>
              <w:pStyle w:val="Texto"/>
              <w:numPr>
                <w:ilvl w:val="1"/>
                <w:numId w:val="4"/>
              </w:numPr>
              <w:spacing w:after="0" w:line="240" w:lineRule="auto"/>
              <w:ind w:left="760" w:right="241" w:hanging="425"/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</w:pP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 xml:space="preserve">Constancia documental de la instalación del equipo </w:t>
            </w:r>
            <w:r w:rsidR="00C25227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de Sistema de Posicionamiento Global (</w:t>
            </w:r>
            <w:r w:rsidRPr="001A5DA3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GPS</w:t>
            </w:r>
            <w:r w:rsidR="00C25227">
              <w:rPr>
                <w:rFonts w:ascii="Open Sans" w:eastAsia="Open Sans" w:hAnsi="Open Sans" w:cs="Open Sans"/>
                <w:color w:val="000000"/>
                <w:sz w:val="16"/>
                <w:szCs w:val="18"/>
                <w:lang w:eastAsia="es-MX"/>
              </w:rPr>
              <w:t>);</w:t>
            </w:r>
          </w:p>
          <w:p w:rsidR="00774845" w:rsidRDefault="00774845" w:rsidP="00774845">
            <w:pPr>
              <w:pStyle w:val="Prrafodelista"/>
              <w:numPr>
                <w:ilvl w:val="1"/>
                <w:numId w:val="4"/>
              </w:numPr>
              <w:spacing w:line="240" w:lineRule="auto"/>
              <w:ind w:left="760" w:right="241" w:hanging="425"/>
              <w:contextualSpacing w:val="0"/>
              <w:jc w:val="both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1A5DA3">
              <w:rPr>
                <w:rFonts w:ascii="Open Sans" w:eastAsia="Open Sans" w:hAnsi="Open Sans" w:cs="Open Sans"/>
                <w:sz w:val="16"/>
                <w:szCs w:val="16"/>
              </w:rPr>
              <w:t>Sistema de ajuste automático de frenos</w:t>
            </w:r>
          </w:p>
          <w:p w:rsidR="0019281B" w:rsidRPr="00CE4859" w:rsidRDefault="00CE4859" w:rsidP="00152F6F">
            <w:pPr>
              <w:pStyle w:val="Prrafodelista"/>
              <w:numPr>
                <w:ilvl w:val="1"/>
                <w:numId w:val="4"/>
              </w:numPr>
              <w:rPr>
                <w:rFonts w:ascii="Open Sans" w:eastAsia="Open Sans" w:hAnsi="Open Sans" w:cs="Open Sans"/>
                <w:sz w:val="16"/>
                <w:szCs w:val="18"/>
              </w:rPr>
            </w:pPr>
            <w:r w:rsidRPr="00CE4859">
              <w:rPr>
                <w:rFonts w:ascii="Open Sans" w:eastAsia="Open Sans" w:hAnsi="Open Sans" w:cs="Open Sans"/>
                <w:sz w:val="16"/>
                <w:szCs w:val="18"/>
              </w:rPr>
              <w:t xml:space="preserve">Póliza de seguro vigente de responsabilidad civil obligatorio por daños a terceros, por un monto equivalente a 19,000 Unidades de Medida y Actualización (UMA) y </w:t>
            </w:r>
            <w:r w:rsidR="00CF1D28">
              <w:rPr>
                <w:rFonts w:ascii="Open Sans" w:eastAsia="Open Sans" w:hAnsi="Open Sans" w:cs="Open Sans"/>
                <w:sz w:val="16"/>
                <w:szCs w:val="18"/>
              </w:rPr>
              <w:t xml:space="preserve"> </w:t>
            </w:r>
            <w:r w:rsidR="00152F6F">
              <w:rPr>
                <w:rFonts w:ascii="Open Sans" w:eastAsia="Open Sans" w:hAnsi="Open Sans" w:cs="Open Sans"/>
                <w:sz w:val="16"/>
                <w:szCs w:val="18"/>
              </w:rPr>
              <w:t>c</w:t>
            </w:r>
            <w:r w:rsidRPr="00CE4859">
              <w:rPr>
                <w:rFonts w:ascii="Open Sans" w:eastAsia="Open Sans" w:hAnsi="Open Sans" w:cs="Open Sans"/>
                <w:sz w:val="16"/>
                <w:szCs w:val="18"/>
              </w:rPr>
              <w:t>omprobante de pago, y</w:t>
            </w:r>
            <w:r w:rsidR="0019281B" w:rsidRPr="00CE4859">
              <w:rPr>
                <w:rFonts w:ascii="Open Sans" w:eastAsia="Open Sans" w:hAnsi="Open Sans" w:cs="Open Sans"/>
                <w:sz w:val="16"/>
                <w:szCs w:val="18"/>
              </w:rPr>
              <w:t>;</w:t>
            </w:r>
          </w:p>
          <w:p w:rsidR="007968BE" w:rsidRPr="001A5DA3" w:rsidRDefault="00CE4859" w:rsidP="00B467EB">
            <w:pPr>
              <w:pStyle w:val="Prrafodelista"/>
              <w:numPr>
                <w:ilvl w:val="1"/>
                <w:numId w:val="4"/>
              </w:numPr>
              <w:spacing w:line="240" w:lineRule="auto"/>
              <w:ind w:right="241"/>
              <w:contextualSpacing w:val="0"/>
              <w:jc w:val="both"/>
              <w:rPr>
                <w:rFonts w:ascii="Open Sans" w:hAnsi="Open Sans" w:cs="Open Sans"/>
                <w:sz w:val="16"/>
                <w:szCs w:val="18"/>
                <w:lang w:val="es-ES_tradnl"/>
              </w:rPr>
            </w:pPr>
            <w:r w:rsidRPr="00CE4859">
              <w:rPr>
                <w:rFonts w:ascii="Open Sans" w:eastAsia="Open Sans" w:hAnsi="Open Sans" w:cs="Open Sans"/>
                <w:sz w:val="16"/>
                <w:szCs w:val="16"/>
              </w:rPr>
              <w:t>En caso del servicio de carga especializada de materiales, residuos, remanentes y desechos peligrosos Póliza de seguro</w:t>
            </w:r>
            <w:r w:rsidR="00CF1D28">
              <w:rPr>
                <w:rFonts w:ascii="Open Sans" w:eastAsia="Open Sans" w:hAnsi="Open Sans" w:cs="Open Sans"/>
                <w:sz w:val="16"/>
                <w:szCs w:val="16"/>
              </w:rPr>
              <w:t xml:space="preserve"> vigente</w:t>
            </w:r>
            <w:r w:rsidRPr="00CE4859">
              <w:rPr>
                <w:rFonts w:ascii="Open Sans" w:eastAsia="Open Sans" w:hAnsi="Open Sans" w:cs="Open Sans"/>
                <w:sz w:val="16"/>
                <w:szCs w:val="16"/>
              </w:rPr>
              <w:t xml:space="preserve"> de daños al medio ambiente, por un monto mínimo de $900,000.00 por vehículo y</w:t>
            </w:r>
            <w:r w:rsidR="00CF1D28">
              <w:rPr>
                <w:rFonts w:ascii="Open Sans" w:eastAsia="Open Sans" w:hAnsi="Open Sans" w:cs="Open Sans"/>
                <w:sz w:val="16"/>
                <w:szCs w:val="16"/>
              </w:rPr>
              <w:t xml:space="preserve"> comprobante de pago</w:t>
            </w:r>
            <w:r w:rsidRPr="00CE4859">
              <w:rPr>
                <w:rFonts w:ascii="Open Sans" w:eastAsia="Open Sans" w:hAnsi="Open Sans" w:cs="Open Sans"/>
                <w:sz w:val="16"/>
                <w:szCs w:val="16"/>
              </w:rPr>
              <w:t>.</w:t>
            </w:r>
          </w:p>
        </w:tc>
      </w:tr>
      <w:tr w:rsidR="007968BE" w:rsidTr="00CF27F2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Observaciones respecto a los documentos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D10566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 xml:space="preserve">El solicitante deberá contar con </w:t>
            </w:r>
            <w:r w:rsidR="004E166C" w:rsidRPr="00AE1862">
              <w:rPr>
                <w:rFonts w:ascii="Open Sans" w:eastAsia="Open Sans" w:hAnsi="Open Sans" w:cs="Open Sans"/>
                <w:sz w:val="18"/>
                <w:szCs w:val="18"/>
              </w:rPr>
              <w:t>un permiso</w:t>
            </w: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 xml:space="preserve"> para el transporte </w:t>
            </w:r>
            <w:r w:rsidR="004E166C" w:rsidRPr="00AE1862">
              <w:rPr>
                <w:rFonts w:ascii="Open Sans" w:eastAsia="Open Sans" w:hAnsi="Open Sans" w:cs="Open Sans"/>
                <w:sz w:val="18"/>
                <w:szCs w:val="18"/>
              </w:rPr>
              <w:t>de carga general o especializada o transporte privado de carga</w:t>
            </w: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  <w:p w:rsidR="006D7FF5" w:rsidRDefault="006D7FF5" w:rsidP="00D10566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6D7FF5" w:rsidRPr="00AE1862" w:rsidRDefault="00AB7063" w:rsidP="00B467EB">
            <w:pPr>
              <w:spacing w:line="240" w:lineRule="auto"/>
              <w:ind w:right="24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Para el caso de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Tractocamiones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s</w:t>
            </w:r>
            <w:r w:rsidR="006D7FF5" w:rsidRPr="006D7FF5">
              <w:rPr>
                <w:rFonts w:ascii="Open Sans" w:eastAsia="Open Sans" w:hAnsi="Open Sans" w:cs="Open Sans"/>
                <w:sz w:val="18"/>
                <w:szCs w:val="18"/>
              </w:rPr>
              <w:t xml:space="preserve">e podrá acreditar el cumplimiento 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los numerales </w:t>
            </w:r>
            <w:r w:rsidRPr="006D7FF5">
              <w:rPr>
                <w:rFonts w:ascii="Open Sans" w:eastAsia="Open Sans" w:hAnsi="Open Sans" w:cs="Open Sans"/>
                <w:sz w:val="18"/>
                <w:szCs w:val="18"/>
              </w:rPr>
              <w:t>1.4 a 1.10.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18"/>
                <w:szCs w:val="18"/>
              </w:rPr>
              <w:t>mediante</w:t>
            </w:r>
            <w:proofErr w:type="gramEnd"/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la presentación de la tarjeta de circulación, factura, documento expedido por la armadora o taller donde se realizaron las modificaciones.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de datos y documentos solicitados: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822CDA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Numerales 6.1.2.1.1 y 6.2.1.4.2 de la NOM-012-2-SCT-2017.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Formato: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Pre-registro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Liga para descarga del formato aplicable: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A8673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hyperlink r:id="rId8" w:history="1">
              <w:r w:rsidR="00774845" w:rsidRPr="00AE1862">
                <w:rPr>
                  <w:rStyle w:val="Hipervnculo"/>
                  <w:rFonts w:ascii="Open Sans" w:eastAsia="Open Sans" w:hAnsi="Open Sans" w:cs="Open Sans"/>
                  <w:sz w:val="18"/>
                  <w:szCs w:val="18"/>
                </w:rPr>
                <w:t>http://www.sct.gob.mx/transporte-y-medicina-preventiva/autotransporte-federal/tramites-y-servicios/Autorizacion-para-Doble-Remolque/</w:t>
              </w:r>
            </w:hyperlink>
          </w:p>
          <w:p w:rsidR="00774845" w:rsidRPr="00AE1862" w:rsidRDefault="00774845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Fecha de publicación del formato en el DOF: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EA11D5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En proceso.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Documentos agregados: (documento emitido por la dependencia):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1F51B7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 xml:space="preserve">Autorización </w:t>
            </w:r>
            <w:r w:rsidR="00774845" w:rsidRPr="00AE1862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xpresa.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Observaciones respecto a los documentos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68BE" w:rsidTr="006D4D0D">
        <w:trPr>
          <w:trHeight w:val="400"/>
        </w:trPr>
        <w:tc>
          <w:tcPr>
            <w:tcW w:w="2524" w:type="dxa"/>
            <w:vMerge/>
            <w:tcBorders>
              <w:bottom w:val="single" w:sz="4" w:space="0" w:color="FFFFFF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Documentos agregados: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68BE" w:rsidTr="006D4D0D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Documentos de salida al trámite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Documentos agregados: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68BE" w:rsidTr="006D4D0D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Cadenas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Cadenas agregadas: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68BE" w:rsidTr="006D4D0D">
        <w:trPr>
          <w:trHeight w:val="480"/>
        </w:trPr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Interacciones dependencia o entidad-Ciudadano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* Cantidad de pasos fuera de la dependencia o entidad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1F51B7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Ninguno.</w:t>
            </w:r>
          </w:p>
        </w:tc>
      </w:tr>
      <w:tr w:rsidR="007968BE" w:rsidTr="006D4D0D">
        <w:tc>
          <w:tcPr>
            <w:tcW w:w="2524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b/>
                <w:color w:val="FFFFFF"/>
                <w:sz w:val="18"/>
                <w:szCs w:val="18"/>
                <w:shd w:val="clear" w:color="auto" w:fill="434343"/>
              </w:rPr>
              <w:t>Oficinas agregadas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Oficinas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C736C" w:rsidRDefault="00166152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66152">
              <w:rPr>
                <w:rFonts w:ascii="Open Sans" w:eastAsia="Open Sans" w:hAnsi="Open Sans" w:cs="Open Sans"/>
                <w:sz w:val="18"/>
                <w:szCs w:val="18"/>
              </w:rPr>
              <w:t>Departamento de Autotransporte Federal Guadalajara, Departamento de Autotransporte Federal Monterrey, Departamento de Autotransporte Federal Villahermosa o al Centro Metropolitano del Autotransporte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  <w:p w:rsidR="008C736C" w:rsidRPr="00AE1862" w:rsidRDefault="008C736C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7968BE" w:rsidRPr="00AE1862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Para conocer la ubicación</w:t>
            </w:r>
            <w:r w:rsidR="00166152">
              <w:rPr>
                <w:rFonts w:ascii="Open Sans" w:eastAsia="Open Sans" w:hAnsi="Open Sans" w:cs="Open Sans"/>
                <w:sz w:val="18"/>
                <w:szCs w:val="18"/>
              </w:rPr>
              <w:t xml:space="preserve"> de oficinas de atención, ingresa</w:t>
            </w: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 xml:space="preserve"> al directorio en la siguiente liga:</w:t>
            </w:r>
          </w:p>
          <w:p w:rsidR="007968BE" w:rsidRPr="00AE1862" w:rsidRDefault="007968BE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http://sct.gob.mx/dgaf/deptos_sct/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 w:val="restart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Tipo de Ficta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FF3EE7" w:rsidP="007968BE">
            <w:pPr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Negativa.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de Ficta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7853B9" w:rsidP="007968BE">
            <w:pPr>
              <w:jc w:val="both"/>
              <w:rPr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Artículo 17 de la Ley Federal de Procedimiento Administrativo.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Vigencia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2A433B" w:rsidP="007968BE">
            <w:pPr>
              <w:jc w:val="both"/>
              <w:rPr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3 años.</w:t>
            </w:r>
          </w:p>
        </w:tc>
      </w:tr>
      <w:tr w:rsidR="007968BE" w:rsidTr="006D4D0D">
        <w:trPr>
          <w:trHeight w:val="260"/>
        </w:trPr>
        <w:tc>
          <w:tcPr>
            <w:tcW w:w="252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43434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pPr>
              <w:spacing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Default="007968BE" w:rsidP="007968BE">
            <w:r>
              <w:rPr>
                <w:rFonts w:ascii="Open Sans" w:eastAsia="Open Sans" w:hAnsi="Open Sans" w:cs="Open Sans"/>
                <w:sz w:val="18"/>
                <w:szCs w:val="18"/>
              </w:rPr>
              <w:t>Fundamento jurídico de vigencia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68BE" w:rsidRPr="00AE1862" w:rsidRDefault="002A433B" w:rsidP="007968BE">
            <w:pPr>
              <w:jc w:val="both"/>
              <w:rPr>
                <w:sz w:val="18"/>
                <w:szCs w:val="18"/>
              </w:rPr>
            </w:pPr>
            <w:r w:rsidRPr="00AE1862">
              <w:rPr>
                <w:rFonts w:ascii="Open Sans" w:eastAsia="Open Sans" w:hAnsi="Open Sans" w:cs="Open Sans"/>
                <w:sz w:val="18"/>
                <w:szCs w:val="18"/>
              </w:rPr>
              <w:t>NOM-012-2-SCT-2017.</w:t>
            </w:r>
          </w:p>
        </w:tc>
      </w:tr>
    </w:tbl>
    <w:p w:rsidR="00280D1E" w:rsidRDefault="00280D1E"/>
    <w:sectPr w:rsidR="00280D1E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3E" w:rsidRDefault="00A8673E">
      <w:pPr>
        <w:spacing w:line="240" w:lineRule="auto"/>
      </w:pPr>
      <w:r>
        <w:separator/>
      </w:r>
    </w:p>
  </w:endnote>
  <w:endnote w:type="continuationSeparator" w:id="0">
    <w:p w:rsidR="00A8673E" w:rsidRDefault="00A86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D0" w:rsidRDefault="00D80C1A">
    <w:pPr>
      <w:jc w:val="right"/>
    </w:pPr>
    <w:r>
      <w:fldChar w:fldCharType="begin"/>
    </w:r>
    <w:r>
      <w:instrText>PAGE</w:instrText>
    </w:r>
    <w:r>
      <w:fldChar w:fldCharType="separate"/>
    </w:r>
    <w:r w:rsidR="007A2E2E">
      <w:rPr>
        <w:noProof/>
      </w:rPr>
      <w:t>1</w:t>
    </w:r>
    <w:r>
      <w:fldChar w:fldCharType="end"/>
    </w:r>
  </w:p>
  <w:p w:rsidR="00A336D0" w:rsidRDefault="00A867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3E" w:rsidRDefault="00A8673E">
      <w:pPr>
        <w:spacing w:line="240" w:lineRule="auto"/>
      </w:pPr>
      <w:r>
        <w:separator/>
      </w:r>
    </w:p>
  </w:footnote>
  <w:footnote w:type="continuationSeparator" w:id="0">
    <w:p w:rsidR="00A8673E" w:rsidRDefault="00A86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D0" w:rsidRDefault="00A8673E">
    <w:pPr>
      <w:ind w:right="-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6620"/>
    <w:multiLevelType w:val="hybridMultilevel"/>
    <w:tmpl w:val="54908D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E7CB9"/>
    <w:multiLevelType w:val="hybridMultilevel"/>
    <w:tmpl w:val="8E26E5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1416"/>
    <w:multiLevelType w:val="hybridMultilevel"/>
    <w:tmpl w:val="76564F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B4CAB"/>
    <w:multiLevelType w:val="hybridMultilevel"/>
    <w:tmpl w:val="F16C8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35BA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9E"/>
    <w:rsid w:val="00004905"/>
    <w:rsid w:val="00007C37"/>
    <w:rsid w:val="00034CD0"/>
    <w:rsid w:val="00040ED8"/>
    <w:rsid w:val="000650D3"/>
    <w:rsid w:val="00082C96"/>
    <w:rsid w:val="00086740"/>
    <w:rsid w:val="00095F83"/>
    <w:rsid w:val="000A61E0"/>
    <w:rsid w:val="000B7E35"/>
    <w:rsid w:val="000B7E47"/>
    <w:rsid w:val="000C377C"/>
    <w:rsid w:val="000D51C6"/>
    <w:rsid w:val="00116E23"/>
    <w:rsid w:val="00133170"/>
    <w:rsid w:val="0013369B"/>
    <w:rsid w:val="00137DE9"/>
    <w:rsid w:val="001412A4"/>
    <w:rsid w:val="00144DF6"/>
    <w:rsid w:val="00152F6F"/>
    <w:rsid w:val="00166152"/>
    <w:rsid w:val="0018216F"/>
    <w:rsid w:val="00185D51"/>
    <w:rsid w:val="0019281B"/>
    <w:rsid w:val="001A48DD"/>
    <w:rsid w:val="001A5DA3"/>
    <w:rsid w:val="001B4BA1"/>
    <w:rsid w:val="001C1178"/>
    <w:rsid w:val="001D2D1A"/>
    <w:rsid w:val="001E2CBB"/>
    <w:rsid w:val="001F51B7"/>
    <w:rsid w:val="001F552D"/>
    <w:rsid w:val="001F5A54"/>
    <w:rsid w:val="00204889"/>
    <w:rsid w:val="00216AF2"/>
    <w:rsid w:val="002328EC"/>
    <w:rsid w:val="0024189E"/>
    <w:rsid w:val="00243826"/>
    <w:rsid w:val="002765E3"/>
    <w:rsid w:val="00280D1E"/>
    <w:rsid w:val="002A17E6"/>
    <w:rsid w:val="002A433B"/>
    <w:rsid w:val="002B4ACB"/>
    <w:rsid w:val="002D10C0"/>
    <w:rsid w:val="002E7940"/>
    <w:rsid w:val="002F6FCF"/>
    <w:rsid w:val="0033474E"/>
    <w:rsid w:val="00374C9E"/>
    <w:rsid w:val="00376D38"/>
    <w:rsid w:val="00382B9B"/>
    <w:rsid w:val="003A17E8"/>
    <w:rsid w:val="003B26E0"/>
    <w:rsid w:val="003D2855"/>
    <w:rsid w:val="003D2FF9"/>
    <w:rsid w:val="003E1D02"/>
    <w:rsid w:val="003F031A"/>
    <w:rsid w:val="0040058D"/>
    <w:rsid w:val="00407EDE"/>
    <w:rsid w:val="00423FCF"/>
    <w:rsid w:val="00425E43"/>
    <w:rsid w:val="00427E0D"/>
    <w:rsid w:val="00433534"/>
    <w:rsid w:val="004356F0"/>
    <w:rsid w:val="0044007C"/>
    <w:rsid w:val="004418FD"/>
    <w:rsid w:val="00443CA8"/>
    <w:rsid w:val="00462DCC"/>
    <w:rsid w:val="0046352B"/>
    <w:rsid w:val="00494E3A"/>
    <w:rsid w:val="004B4AA4"/>
    <w:rsid w:val="004D3128"/>
    <w:rsid w:val="004D31F2"/>
    <w:rsid w:val="004D38DC"/>
    <w:rsid w:val="004E166C"/>
    <w:rsid w:val="004E7A7C"/>
    <w:rsid w:val="00502B17"/>
    <w:rsid w:val="00503DA4"/>
    <w:rsid w:val="00503DD7"/>
    <w:rsid w:val="00520E16"/>
    <w:rsid w:val="00544A29"/>
    <w:rsid w:val="00544D54"/>
    <w:rsid w:val="00574647"/>
    <w:rsid w:val="0057495E"/>
    <w:rsid w:val="00585DC9"/>
    <w:rsid w:val="00587E68"/>
    <w:rsid w:val="005A66E4"/>
    <w:rsid w:val="005C5006"/>
    <w:rsid w:val="005E3341"/>
    <w:rsid w:val="005F2A09"/>
    <w:rsid w:val="00625306"/>
    <w:rsid w:val="006443EE"/>
    <w:rsid w:val="00644C0A"/>
    <w:rsid w:val="00674DFE"/>
    <w:rsid w:val="006B097C"/>
    <w:rsid w:val="006B781E"/>
    <w:rsid w:val="006D4D0D"/>
    <w:rsid w:val="006D7FF5"/>
    <w:rsid w:val="006F2BDB"/>
    <w:rsid w:val="006F6F1E"/>
    <w:rsid w:val="006F795B"/>
    <w:rsid w:val="0076596B"/>
    <w:rsid w:val="0077130F"/>
    <w:rsid w:val="00773E71"/>
    <w:rsid w:val="00774845"/>
    <w:rsid w:val="007756D3"/>
    <w:rsid w:val="007853B9"/>
    <w:rsid w:val="007968BE"/>
    <w:rsid w:val="007A2E2E"/>
    <w:rsid w:val="007D1DD1"/>
    <w:rsid w:val="007E26D2"/>
    <w:rsid w:val="007F6CE9"/>
    <w:rsid w:val="00802F82"/>
    <w:rsid w:val="008041C9"/>
    <w:rsid w:val="0081147B"/>
    <w:rsid w:val="00822CDA"/>
    <w:rsid w:val="008278E6"/>
    <w:rsid w:val="0083119E"/>
    <w:rsid w:val="00842FC6"/>
    <w:rsid w:val="00847645"/>
    <w:rsid w:val="00855517"/>
    <w:rsid w:val="0088387C"/>
    <w:rsid w:val="00893410"/>
    <w:rsid w:val="008C5DEB"/>
    <w:rsid w:val="008C736C"/>
    <w:rsid w:val="008C7BB5"/>
    <w:rsid w:val="008D2CC7"/>
    <w:rsid w:val="008D33EC"/>
    <w:rsid w:val="008D3DC9"/>
    <w:rsid w:val="008D6829"/>
    <w:rsid w:val="008E4E41"/>
    <w:rsid w:val="00931D69"/>
    <w:rsid w:val="00932F65"/>
    <w:rsid w:val="00933B36"/>
    <w:rsid w:val="00937CB6"/>
    <w:rsid w:val="00942FA7"/>
    <w:rsid w:val="00973303"/>
    <w:rsid w:val="0099686C"/>
    <w:rsid w:val="009B4E74"/>
    <w:rsid w:val="00A10911"/>
    <w:rsid w:val="00A4276D"/>
    <w:rsid w:val="00A8673E"/>
    <w:rsid w:val="00AB6041"/>
    <w:rsid w:val="00AB7063"/>
    <w:rsid w:val="00AC6992"/>
    <w:rsid w:val="00AD6579"/>
    <w:rsid w:val="00AE1862"/>
    <w:rsid w:val="00B10804"/>
    <w:rsid w:val="00B131DE"/>
    <w:rsid w:val="00B467EB"/>
    <w:rsid w:val="00B500CE"/>
    <w:rsid w:val="00B5744F"/>
    <w:rsid w:val="00B579EF"/>
    <w:rsid w:val="00B624A5"/>
    <w:rsid w:val="00B634DE"/>
    <w:rsid w:val="00B74D19"/>
    <w:rsid w:val="00B75CD6"/>
    <w:rsid w:val="00B8000A"/>
    <w:rsid w:val="00B82B7A"/>
    <w:rsid w:val="00B85D46"/>
    <w:rsid w:val="00BA54AD"/>
    <w:rsid w:val="00BF0AAF"/>
    <w:rsid w:val="00C25227"/>
    <w:rsid w:val="00C30E02"/>
    <w:rsid w:val="00C34D93"/>
    <w:rsid w:val="00C35878"/>
    <w:rsid w:val="00C35A00"/>
    <w:rsid w:val="00C4317B"/>
    <w:rsid w:val="00C76DC8"/>
    <w:rsid w:val="00C952C3"/>
    <w:rsid w:val="00CB0418"/>
    <w:rsid w:val="00CD006F"/>
    <w:rsid w:val="00CD37BB"/>
    <w:rsid w:val="00CE4121"/>
    <w:rsid w:val="00CE4859"/>
    <w:rsid w:val="00CF1D28"/>
    <w:rsid w:val="00CF27F2"/>
    <w:rsid w:val="00D07C92"/>
    <w:rsid w:val="00D10566"/>
    <w:rsid w:val="00D124C1"/>
    <w:rsid w:val="00D46B9B"/>
    <w:rsid w:val="00D80C1A"/>
    <w:rsid w:val="00D87804"/>
    <w:rsid w:val="00DB3A3B"/>
    <w:rsid w:val="00DD5A94"/>
    <w:rsid w:val="00DE4A9E"/>
    <w:rsid w:val="00E16420"/>
    <w:rsid w:val="00E34B3D"/>
    <w:rsid w:val="00E84532"/>
    <w:rsid w:val="00EA11D5"/>
    <w:rsid w:val="00EA2DB3"/>
    <w:rsid w:val="00EA4D74"/>
    <w:rsid w:val="00EA7288"/>
    <w:rsid w:val="00EE168F"/>
    <w:rsid w:val="00EE22E0"/>
    <w:rsid w:val="00EE7B12"/>
    <w:rsid w:val="00EF2B21"/>
    <w:rsid w:val="00EF48C6"/>
    <w:rsid w:val="00F166CD"/>
    <w:rsid w:val="00F338C2"/>
    <w:rsid w:val="00F40E9D"/>
    <w:rsid w:val="00F557BF"/>
    <w:rsid w:val="00F56574"/>
    <w:rsid w:val="00F74FA8"/>
    <w:rsid w:val="00F75A76"/>
    <w:rsid w:val="00F82A57"/>
    <w:rsid w:val="00F82C11"/>
    <w:rsid w:val="00F93901"/>
    <w:rsid w:val="00FB4EA3"/>
    <w:rsid w:val="00FC4023"/>
    <w:rsid w:val="00FD2857"/>
    <w:rsid w:val="00FE352B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3B5A2-1199-4441-800B-8D09B58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4A9E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C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3EE"/>
    <w:rPr>
      <w:rFonts w:ascii="Segoe UI" w:eastAsia="Arial" w:hAnsi="Segoe UI" w:cs="Segoe UI"/>
      <w:color w:val="000000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FC4023"/>
    <w:rPr>
      <w:color w:val="0563C1" w:themeColor="hyperlink"/>
      <w:u w:val="single"/>
    </w:rPr>
  </w:style>
  <w:style w:type="paragraph" w:customStyle="1" w:styleId="Texto">
    <w:name w:val="Texto"/>
    <w:basedOn w:val="Normal"/>
    <w:link w:val="TextoCar"/>
    <w:rsid w:val="0019281B"/>
    <w:pPr>
      <w:spacing w:after="101" w:line="216" w:lineRule="exact"/>
      <w:ind w:firstLine="288"/>
      <w:jc w:val="both"/>
    </w:pPr>
    <w:rPr>
      <w:rFonts w:eastAsia="Times New Roman"/>
      <w:color w:val="auto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9281B"/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928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81B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928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1B"/>
    <w:rPr>
      <w:rFonts w:ascii="Arial" w:eastAsia="Arial" w:hAnsi="Arial" w:cs="Arial"/>
      <w:color w:val="000000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8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847">
              <w:marLeft w:val="0"/>
              <w:marRight w:val="0"/>
              <w:marTop w:val="0"/>
              <w:marBottom w:val="0"/>
              <w:divBdr>
                <w:top w:val="single" w:sz="6" w:space="7" w:color="FAFAFA"/>
                <w:left w:val="none" w:sz="0" w:space="0" w:color="auto"/>
                <w:bottom w:val="single" w:sz="6" w:space="8" w:color="FAFAFA"/>
                <w:right w:val="none" w:sz="0" w:space="0" w:color="auto"/>
              </w:divBdr>
              <w:divsChild>
                <w:div w:id="1457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15">
          <w:marLeft w:val="0"/>
          <w:marRight w:val="0"/>
          <w:marTop w:val="0"/>
          <w:marBottom w:val="0"/>
          <w:divBdr>
            <w:top w:val="dotted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FAFAFA"/>
                            <w:left w:val="none" w:sz="0" w:space="0" w:color="auto"/>
                            <w:bottom w:val="single" w:sz="6" w:space="8" w:color="FAFAFA"/>
                            <w:right w:val="none" w:sz="0" w:space="0" w:color="auto"/>
                          </w:divBdr>
                          <w:divsChild>
                            <w:div w:id="360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65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3896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t.gob.mx/transporte-y-medicina-preventiva/autotransporte-federal/tramites-y-servicios/Autorizacion-para-Doble-Remolq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t.gob.mx/transporte-y-medicina-preventiva/autotransporte-federal/tramites-y-servicios/Autorizacion-para-Doble-Remolqu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Estelius Montanez Nava</dc:creator>
  <cp:keywords/>
  <dc:description/>
  <cp:lastModifiedBy>Maria Del Rocio Bello Castillo</cp:lastModifiedBy>
  <cp:revision>2</cp:revision>
  <cp:lastPrinted>2018-03-16T20:21:00Z</cp:lastPrinted>
  <dcterms:created xsi:type="dcterms:W3CDTF">2018-06-19T17:48:00Z</dcterms:created>
  <dcterms:modified xsi:type="dcterms:W3CDTF">2018-06-19T17:48:00Z</dcterms:modified>
</cp:coreProperties>
</file>