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20D6CD" w14:textId="77777777" w:rsidR="007A2CC8" w:rsidRPr="00EC45D9" w:rsidRDefault="007A2CC8" w:rsidP="00BE1F2B">
      <w:pPr>
        <w:snapToGrid w:val="0"/>
        <w:spacing w:after="0" w:line="240" w:lineRule="auto"/>
        <w:ind w:left="4820"/>
        <w:outlineLvl w:val="0"/>
        <w:rPr>
          <w:rFonts w:ascii="Soberana Sans" w:eastAsia="Times New Roman" w:hAnsi="Soberana Sans" w:cs="Georgia"/>
          <w:sz w:val="20"/>
          <w:szCs w:val="20"/>
          <w:lang w:val="es-ES" w:eastAsia="es-ES"/>
        </w:rPr>
      </w:pPr>
      <w:bookmarkStart w:id="0" w:name="_GoBack"/>
      <w:bookmarkEnd w:id="0"/>
    </w:p>
    <w:p w14:paraId="0DDD3C89" w14:textId="77777777" w:rsidR="00BE1F2B" w:rsidRPr="00B0723A" w:rsidRDefault="00E35319" w:rsidP="00BE1F2B">
      <w:pPr>
        <w:snapToGrid w:val="0"/>
        <w:spacing w:after="0" w:line="240" w:lineRule="auto"/>
        <w:ind w:left="4820"/>
        <w:outlineLvl w:val="0"/>
        <w:rPr>
          <w:rFonts w:ascii="Soberana Sans" w:eastAsia="Times New Roman" w:hAnsi="Soberana Sans" w:cs="Georgia"/>
          <w:sz w:val="20"/>
          <w:szCs w:val="20"/>
          <w:lang w:val="es-ES" w:eastAsia="es-ES"/>
        </w:rPr>
      </w:pPr>
      <w:r w:rsidRPr="00B0723A">
        <w:rPr>
          <w:rFonts w:ascii="Soberana Sans" w:eastAsia="Times New Roman" w:hAnsi="Soberana Sans" w:cs="Georgia"/>
          <w:sz w:val="20"/>
          <w:szCs w:val="20"/>
          <w:lang w:val="es-ES" w:eastAsia="es-ES"/>
        </w:rPr>
        <w:t xml:space="preserve">Ciudad de </w:t>
      </w:r>
      <w:r w:rsidR="00BE1F2B" w:rsidRPr="00B0723A">
        <w:rPr>
          <w:rFonts w:ascii="Soberana Sans" w:eastAsia="Times New Roman" w:hAnsi="Soberana Sans" w:cs="Georgia"/>
          <w:sz w:val="20"/>
          <w:szCs w:val="20"/>
          <w:lang w:val="es-ES" w:eastAsia="es-ES"/>
        </w:rPr>
        <w:t xml:space="preserve">México,  </w:t>
      </w:r>
    </w:p>
    <w:p w14:paraId="7B6800E0" w14:textId="77777777" w:rsidR="00BE1F2B" w:rsidRPr="00B0723A" w:rsidRDefault="00BE1F2B" w:rsidP="00BE1F2B">
      <w:pPr>
        <w:snapToGrid w:val="0"/>
        <w:spacing w:after="0" w:line="240" w:lineRule="auto"/>
        <w:jc w:val="right"/>
        <w:outlineLvl w:val="0"/>
        <w:rPr>
          <w:rFonts w:ascii="Soberana Sans" w:eastAsia="Times New Roman" w:hAnsi="Soberana Sans" w:cs="Georgia"/>
          <w:sz w:val="20"/>
          <w:szCs w:val="20"/>
          <w:lang w:val="es-ES" w:eastAsia="es-ES"/>
        </w:rPr>
      </w:pPr>
    </w:p>
    <w:p w14:paraId="5FF6788D" w14:textId="77777777" w:rsidR="00C14B49" w:rsidRPr="00B0723A" w:rsidRDefault="00C14B49" w:rsidP="00BE1F2B">
      <w:pPr>
        <w:tabs>
          <w:tab w:val="left" w:pos="4440"/>
        </w:tabs>
        <w:autoSpaceDE w:val="0"/>
        <w:autoSpaceDN w:val="0"/>
        <w:adjustRightInd w:val="0"/>
        <w:snapToGrid w:val="0"/>
        <w:spacing w:after="0" w:line="240" w:lineRule="auto"/>
        <w:ind w:right="378"/>
        <w:jc w:val="center"/>
        <w:rPr>
          <w:rFonts w:ascii="Soberana Sans" w:eastAsia="Times New Roman" w:hAnsi="Soberana Sans" w:cs="Georgia"/>
          <w:b/>
          <w:bCs/>
          <w:color w:val="000000"/>
          <w:sz w:val="20"/>
          <w:szCs w:val="20"/>
          <w:lang w:val="es-ES" w:eastAsia="es-ES"/>
        </w:rPr>
      </w:pPr>
    </w:p>
    <w:p w14:paraId="0D7B97B6" w14:textId="3E80C073" w:rsidR="00200D4C" w:rsidRPr="009A0EAA" w:rsidRDefault="007A2CC8" w:rsidP="00200D4C">
      <w:pPr>
        <w:pStyle w:val="ANOTACION"/>
        <w:spacing w:before="0" w:after="0" w:line="219" w:lineRule="exact"/>
        <w:rPr>
          <w:rFonts w:ascii="Soberana Sans" w:hAnsi="Soberana Sans"/>
          <w:sz w:val="20"/>
        </w:rPr>
      </w:pPr>
      <w:r w:rsidRPr="00B0723A">
        <w:rPr>
          <w:rFonts w:ascii="Soberana Sans" w:hAnsi="Soberana Sans" w:cs="Georgia"/>
          <w:bCs/>
          <w:sz w:val="20"/>
          <w:lang w:val="es-ES"/>
        </w:rPr>
        <w:t xml:space="preserve">               </w:t>
      </w:r>
      <w:r w:rsidR="00200D4C" w:rsidRPr="009A0EAA">
        <w:rPr>
          <w:rFonts w:ascii="Soberana Sans" w:hAnsi="Soberana Sans"/>
          <w:sz w:val="20"/>
        </w:rPr>
        <w:t xml:space="preserve">CIRCULAR </w:t>
      </w:r>
      <w:r w:rsidR="00200D4C" w:rsidRPr="00E9413B">
        <w:rPr>
          <w:rFonts w:ascii="Soberana Sans" w:hAnsi="Soberana Sans"/>
          <w:color w:val="000000"/>
          <w:sz w:val="20"/>
        </w:rPr>
        <w:t xml:space="preserve">MODIFICATORIA </w:t>
      </w:r>
      <w:r w:rsidR="003F44DF">
        <w:rPr>
          <w:rFonts w:ascii="Soberana Sans" w:hAnsi="Soberana Sans"/>
          <w:color w:val="000000"/>
          <w:sz w:val="20"/>
        </w:rPr>
        <w:t>8</w:t>
      </w:r>
      <w:r w:rsidR="00200D4C" w:rsidRPr="009A0EAA">
        <w:rPr>
          <w:rFonts w:ascii="Soberana Sans" w:hAnsi="Soberana Sans"/>
          <w:sz w:val="20"/>
        </w:rPr>
        <w:t>/1</w:t>
      </w:r>
      <w:r w:rsidR="00200D4C">
        <w:rPr>
          <w:rFonts w:ascii="Soberana Sans" w:hAnsi="Soberana Sans"/>
          <w:sz w:val="20"/>
        </w:rPr>
        <w:t>8</w:t>
      </w:r>
      <w:r w:rsidR="00200D4C" w:rsidRPr="009A0EAA">
        <w:rPr>
          <w:rFonts w:ascii="Soberana Sans" w:hAnsi="Soberana Sans"/>
          <w:sz w:val="20"/>
        </w:rPr>
        <w:t xml:space="preserve"> DE LA </w:t>
      </w:r>
      <w:r w:rsidR="00200D4C">
        <w:rPr>
          <w:rFonts w:ascii="Soberana Sans" w:hAnsi="Soberana Sans"/>
          <w:sz w:val="20"/>
        </w:rPr>
        <w:t>Ú</w:t>
      </w:r>
      <w:r w:rsidR="00200D4C" w:rsidRPr="009A0EAA">
        <w:rPr>
          <w:rFonts w:ascii="Soberana Sans" w:hAnsi="Soberana Sans"/>
          <w:sz w:val="20"/>
        </w:rPr>
        <w:t>NICA DE SEGUROS Y FIANZAS</w:t>
      </w:r>
    </w:p>
    <w:p w14:paraId="5977D677" w14:textId="77777777" w:rsidR="00200D4C" w:rsidRPr="009A0EAA" w:rsidRDefault="00200D4C" w:rsidP="00200D4C">
      <w:pPr>
        <w:pStyle w:val="ANOTACION"/>
        <w:spacing w:before="0" w:after="0" w:line="219" w:lineRule="exact"/>
        <w:rPr>
          <w:rFonts w:ascii="Soberana Sans" w:hAnsi="Soberana Sans"/>
          <w:sz w:val="20"/>
        </w:rPr>
      </w:pPr>
      <w:r w:rsidRPr="009A0EAA">
        <w:rPr>
          <w:rFonts w:ascii="Soberana Sans" w:hAnsi="Soberana Sans"/>
          <w:sz w:val="20"/>
        </w:rPr>
        <w:t>(</w:t>
      </w:r>
      <w:r>
        <w:rPr>
          <w:rFonts w:ascii="Soberana Sans" w:hAnsi="Soberana Sans"/>
          <w:sz w:val="20"/>
        </w:rPr>
        <w:t>Disposiciones 25.1.8. y 25.1.22.</w:t>
      </w:r>
      <w:r w:rsidRPr="009A0EAA">
        <w:rPr>
          <w:rFonts w:ascii="Soberana Sans" w:hAnsi="Soberana Sans"/>
          <w:sz w:val="20"/>
        </w:rPr>
        <w:t>)</w:t>
      </w:r>
    </w:p>
    <w:p w14:paraId="656B79A8" w14:textId="77777777" w:rsidR="00200D4C" w:rsidRDefault="00200D4C" w:rsidP="00200D4C">
      <w:pPr>
        <w:ind w:left="284"/>
        <w:jc w:val="center"/>
        <w:rPr>
          <w:rFonts w:ascii="Georgia" w:hAnsi="Georgia" w:cs="Arial"/>
          <w:b/>
          <w:sz w:val="20"/>
          <w:szCs w:val="20"/>
        </w:rPr>
      </w:pPr>
    </w:p>
    <w:p w14:paraId="6727077B" w14:textId="77777777" w:rsidR="00200D4C" w:rsidRDefault="00200D4C" w:rsidP="00200D4C">
      <w:pPr>
        <w:autoSpaceDE w:val="0"/>
        <w:autoSpaceDN w:val="0"/>
        <w:adjustRightInd w:val="0"/>
        <w:snapToGrid w:val="0"/>
        <w:jc w:val="both"/>
        <w:rPr>
          <w:rFonts w:ascii="Soberana Sans" w:hAnsi="Soberana Sans" w:cs="Georgia"/>
          <w:sz w:val="20"/>
          <w:szCs w:val="20"/>
        </w:rPr>
      </w:pPr>
      <w:r w:rsidRPr="00EB30B9">
        <w:rPr>
          <w:rFonts w:ascii="Soberana Sans" w:hAnsi="Soberana Sans" w:cs="Georgia"/>
          <w:sz w:val="20"/>
          <w:szCs w:val="20"/>
        </w:rPr>
        <w:t>La Comisión Nacional de Seguros y Fianzas, con fundamento en lo dispuesto en los artículos 366, fracción II, 372, fracci</w:t>
      </w:r>
      <w:r>
        <w:rPr>
          <w:rFonts w:ascii="Soberana Sans" w:hAnsi="Soberana Sans" w:cs="Georgia"/>
          <w:sz w:val="20"/>
          <w:szCs w:val="20"/>
        </w:rPr>
        <w:t>ones</w:t>
      </w:r>
      <w:r w:rsidRPr="00EB30B9">
        <w:rPr>
          <w:rFonts w:ascii="Soberana Sans" w:hAnsi="Soberana Sans" w:cs="Georgia"/>
          <w:sz w:val="20"/>
          <w:szCs w:val="20"/>
        </w:rPr>
        <w:t xml:space="preserve"> VI</w:t>
      </w:r>
      <w:r>
        <w:rPr>
          <w:rFonts w:ascii="Soberana Sans" w:hAnsi="Soberana Sans" w:cs="Georgia"/>
          <w:sz w:val="20"/>
          <w:szCs w:val="20"/>
        </w:rPr>
        <w:t xml:space="preserve"> y</w:t>
      </w:r>
      <w:r w:rsidRPr="00EB30B9">
        <w:rPr>
          <w:rFonts w:ascii="Soberana Sans" w:hAnsi="Soberana Sans" w:cs="Georgia"/>
          <w:sz w:val="20"/>
          <w:szCs w:val="20"/>
        </w:rPr>
        <w:t xml:space="preserve"> </w:t>
      </w:r>
      <w:r>
        <w:rPr>
          <w:rFonts w:ascii="Soberana Sans" w:hAnsi="Soberana Sans" w:cs="Georgia"/>
          <w:sz w:val="20"/>
          <w:szCs w:val="20"/>
        </w:rPr>
        <w:t xml:space="preserve">XLII, 373 y 381 </w:t>
      </w:r>
      <w:r w:rsidRPr="00EB30B9">
        <w:rPr>
          <w:rFonts w:ascii="Soberana Sans" w:hAnsi="Soberana Sans" w:cs="Georgia"/>
          <w:sz w:val="20"/>
          <w:szCs w:val="20"/>
        </w:rPr>
        <w:t>de la Ley de Instituciones de Seguros y de Fianzas, y</w:t>
      </w:r>
    </w:p>
    <w:p w14:paraId="5F56F7A3" w14:textId="77777777" w:rsidR="00200D4C" w:rsidRDefault="00200D4C" w:rsidP="00200D4C">
      <w:pPr>
        <w:ind w:left="284"/>
        <w:jc w:val="center"/>
        <w:rPr>
          <w:rFonts w:ascii="Soberana Sans" w:hAnsi="Soberana Sans" w:cs="Georgia"/>
          <w:b/>
          <w:bCs/>
          <w:color w:val="000000"/>
          <w:spacing w:val="20"/>
          <w:sz w:val="20"/>
          <w:szCs w:val="20"/>
        </w:rPr>
      </w:pPr>
      <w:r w:rsidRPr="00C50482">
        <w:rPr>
          <w:rFonts w:ascii="Soberana Sans" w:hAnsi="Soberana Sans" w:cs="Georgia"/>
          <w:b/>
          <w:bCs/>
          <w:color w:val="000000"/>
          <w:spacing w:val="20"/>
          <w:sz w:val="20"/>
          <w:szCs w:val="20"/>
        </w:rPr>
        <w:t>CONSIDERANDO</w:t>
      </w:r>
    </w:p>
    <w:p w14:paraId="6C63C19C" w14:textId="77777777" w:rsidR="003F44DF" w:rsidRDefault="003F44DF" w:rsidP="003F44DF">
      <w:pPr>
        <w:pStyle w:val="Texto"/>
        <w:spacing w:after="0" w:line="240" w:lineRule="auto"/>
        <w:ind w:firstLine="0"/>
        <w:rPr>
          <w:rFonts w:ascii="Soberana Sans" w:hAnsi="Soberana Sans"/>
          <w:sz w:val="20"/>
        </w:rPr>
      </w:pPr>
    </w:p>
    <w:p w14:paraId="26670F05" w14:textId="77777777" w:rsidR="00200D4C" w:rsidRDefault="00200D4C" w:rsidP="003F44DF">
      <w:pPr>
        <w:pStyle w:val="Texto"/>
        <w:spacing w:after="0" w:line="240" w:lineRule="auto"/>
        <w:ind w:firstLine="0"/>
        <w:rPr>
          <w:rFonts w:ascii="Soberana Sans" w:hAnsi="Soberana Sans"/>
          <w:sz w:val="20"/>
        </w:rPr>
      </w:pPr>
      <w:r w:rsidRPr="000D556E">
        <w:rPr>
          <w:rFonts w:ascii="Soberana Sans" w:hAnsi="Soberana Sans"/>
          <w:sz w:val="20"/>
        </w:rPr>
        <w:t>Que el 4 de abril de 2013 se publicó en el Diario Oficial de la Federación el “Decreto por el que se expide la Ley de Instituciones de Seguros y de Fianzas y se reforman y adicionan diversas disposiciones de la Ley sobre el Contrato de Seguro”, a través del cual, en términos de su Artículo Primero, se expide la Ley de Instituciones de Seguros y de Fianzas.</w:t>
      </w:r>
    </w:p>
    <w:p w14:paraId="5AB7EE62" w14:textId="77777777" w:rsidR="00200D4C" w:rsidRDefault="00200D4C" w:rsidP="00200D4C">
      <w:pPr>
        <w:pStyle w:val="Texto"/>
        <w:spacing w:after="0"/>
        <w:ind w:firstLine="289"/>
        <w:rPr>
          <w:rFonts w:ascii="Soberana Sans" w:hAnsi="Soberana Sans"/>
          <w:sz w:val="20"/>
        </w:rPr>
      </w:pPr>
    </w:p>
    <w:p w14:paraId="5D410EF3" w14:textId="77777777" w:rsidR="00200D4C" w:rsidRDefault="00200D4C" w:rsidP="003F44DF">
      <w:pPr>
        <w:pStyle w:val="Texto"/>
        <w:spacing w:after="0" w:line="240" w:lineRule="auto"/>
        <w:ind w:firstLine="0"/>
        <w:rPr>
          <w:rFonts w:ascii="Soberana Sans" w:hAnsi="Soberana Sans"/>
          <w:sz w:val="20"/>
        </w:rPr>
      </w:pPr>
      <w:r w:rsidRPr="000D556E">
        <w:rPr>
          <w:rFonts w:ascii="Soberana Sans" w:hAnsi="Soberana Sans"/>
          <w:sz w:val="20"/>
        </w:rPr>
        <w:t>Que el 19 de diciembre de 2014, se publicó en el Diario Oficial de la Federación la Circular Única de Seguros y Fianzas, mediante la cual se dan a conocer las disposiciones de carácter general que emanan de la Ley de Instituciones de Seguros y de Fianzas, sistematizando su integración y homologando la terminología utilizada, a fin de brindar con ello certeza jurídica en cuanto al marco normativo al que las instituciones y sociedades mutualistas de seguros, instituciones de fianzas y demás personas y entidades sujetas a la inspección y vigilancia de la Comisión Nacional de Seguros y Fianzas deberán sujetarse en el desarrollo de sus operaciones.</w:t>
      </w:r>
    </w:p>
    <w:p w14:paraId="23E768F4" w14:textId="77777777" w:rsidR="00200D4C" w:rsidRDefault="00200D4C" w:rsidP="00200D4C">
      <w:pPr>
        <w:pStyle w:val="Texto"/>
        <w:spacing w:after="0" w:line="240" w:lineRule="auto"/>
        <w:ind w:firstLine="289"/>
        <w:rPr>
          <w:rFonts w:ascii="Soberana Sans" w:hAnsi="Soberana Sans"/>
          <w:sz w:val="20"/>
        </w:rPr>
      </w:pPr>
    </w:p>
    <w:p w14:paraId="7FB228F6" w14:textId="402583C8" w:rsidR="00200D4C" w:rsidRDefault="00200D4C" w:rsidP="003F44DF">
      <w:pPr>
        <w:pStyle w:val="Texto"/>
        <w:spacing w:after="0" w:line="240" w:lineRule="auto"/>
        <w:ind w:firstLine="0"/>
        <w:rPr>
          <w:rFonts w:ascii="Soberana Sans" w:hAnsi="Soberana Sans"/>
          <w:sz w:val="20"/>
        </w:rPr>
      </w:pPr>
      <w:r>
        <w:rPr>
          <w:rFonts w:ascii="Soberana Sans" w:hAnsi="Soberana Sans"/>
          <w:sz w:val="20"/>
        </w:rPr>
        <w:t xml:space="preserve">Que de acuerdo a lo </w:t>
      </w:r>
      <w:r w:rsidR="00B87EEB">
        <w:rPr>
          <w:rFonts w:ascii="Soberana Sans" w:hAnsi="Soberana Sans"/>
          <w:sz w:val="20"/>
        </w:rPr>
        <w:t xml:space="preserve">previsto </w:t>
      </w:r>
      <w:r>
        <w:rPr>
          <w:rFonts w:ascii="Soberana Sans" w:hAnsi="Soberana Sans"/>
          <w:sz w:val="20"/>
        </w:rPr>
        <w:t>por la Ley para Regular las Agrupaciones Financieras, las Sociedades Controladoras de los Grupos Financieros deben regularse, en las materias que así lo ameriten, de forma conjunta por parte de las Comisiones Supervisoras.</w:t>
      </w:r>
    </w:p>
    <w:p w14:paraId="70DA5AC7" w14:textId="77777777" w:rsidR="00200D4C" w:rsidRDefault="00200D4C" w:rsidP="00200D4C">
      <w:pPr>
        <w:pStyle w:val="Texto"/>
        <w:spacing w:after="0" w:line="240" w:lineRule="auto"/>
        <w:ind w:firstLine="289"/>
        <w:rPr>
          <w:rFonts w:ascii="Soberana Sans" w:hAnsi="Soberana Sans"/>
          <w:sz w:val="20"/>
        </w:rPr>
      </w:pPr>
    </w:p>
    <w:p w14:paraId="03D9766A" w14:textId="1EF6F67A" w:rsidR="00200D4C" w:rsidRDefault="00200D4C" w:rsidP="003F44DF">
      <w:pPr>
        <w:pStyle w:val="Texto"/>
        <w:spacing w:after="0" w:line="240" w:lineRule="auto"/>
        <w:ind w:firstLine="0"/>
        <w:rPr>
          <w:rFonts w:ascii="Soberana Sans" w:hAnsi="Soberana Sans"/>
          <w:sz w:val="20"/>
        </w:rPr>
      </w:pPr>
      <w:r>
        <w:rPr>
          <w:rFonts w:ascii="Soberana Sans" w:hAnsi="Soberana Sans"/>
          <w:sz w:val="20"/>
        </w:rPr>
        <w:t>Que para tales efectos</w:t>
      </w:r>
      <w:r w:rsidR="00B87EEB">
        <w:rPr>
          <w:rFonts w:ascii="Soberana Sans" w:hAnsi="Soberana Sans"/>
          <w:sz w:val="20"/>
        </w:rPr>
        <w:t>,</w:t>
      </w:r>
      <w:r>
        <w:rPr>
          <w:rFonts w:ascii="Soberana Sans" w:hAnsi="Soberana Sans"/>
          <w:sz w:val="20"/>
        </w:rPr>
        <w:t xml:space="preserve"> </w:t>
      </w:r>
      <w:r w:rsidR="00B87EEB">
        <w:rPr>
          <w:rFonts w:ascii="Soberana Sans" w:hAnsi="Soberana Sans"/>
          <w:sz w:val="20"/>
        </w:rPr>
        <w:t xml:space="preserve">la Comisión Nacional Bancaria y de Valores, la Comisión Nacional de Seguros y Fianzas y la Comisión Nacional del Sistema de Ahorro para el Retiro, </w:t>
      </w:r>
      <w:r>
        <w:rPr>
          <w:rFonts w:ascii="Soberana Sans" w:hAnsi="Soberana Sans"/>
          <w:sz w:val="20"/>
        </w:rPr>
        <w:t xml:space="preserve">emitieron las “Disposiciones de carácter general aplicables a las sociedades controladoras de grupos financieros y </w:t>
      </w:r>
      <w:proofErr w:type="spellStart"/>
      <w:r>
        <w:rPr>
          <w:rFonts w:ascii="Soberana Sans" w:hAnsi="Soberana Sans"/>
          <w:sz w:val="20"/>
        </w:rPr>
        <w:t>subcontroladoras</w:t>
      </w:r>
      <w:proofErr w:type="spellEnd"/>
      <w:r>
        <w:rPr>
          <w:rFonts w:ascii="Soberana Sans" w:hAnsi="Soberana Sans"/>
          <w:sz w:val="20"/>
        </w:rPr>
        <w:t xml:space="preserve"> que regulan las materias que corresponden de manera conjunta a las Comisiones Nacionales Supervisoras”</w:t>
      </w:r>
      <w:r w:rsidR="004C20C1">
        <w:rPr>
          <w:rFonts w:ascii="Soberana Sans" w:hAnsi="Soberana Sans"/>
          <w:sz w:val="20"/>
        </w:rPr>
        <w:t>.</w:t>
      </w:r>
    </w:p>
    <w:p w14:paraId="48A06632" w14:textId="77777777" w:rsidR="00200D4C" w:rsidRDefault="00200D4C" w:rsidP="00200D4C">
      <w:pPr>
        <w:pStyle w:val="Texto"/>
        <w:spacing w:after="0" w:line="240" w:lineRule="auto"/>
        <w:ind w:firstLine="289"/>
        <w:rPr>
          <w:rFonts w:ascii="Soberana Sans" w:hAnsi="Soberana Sans"/>
          <w:sz w:val="20"/>
        </w:rPr>
      </w:pPr>
    </w:p>
    <w:p w14:paraId="4C7D7404" w14:textId="3FEE0DD8" w:rsidR="00200D4C" w:rsidRDefault="00200D4C" w:rsidP="003F44DF">
      <w:pPr>
        <w:pStyle w:val="Texto"/>
        <w:spacing w:after="0" w:line="240" w:lineRule="auto"/>
        <w:ind w:firstLine="0"/>
        <w:rPr>
          <w:rFonts w:ascii="Soberana Sans" w:hAnsi="Soberana Sans"/>
          <w:sz w:val="20"/>
        </w:rPr>
      </w:pPr>
      <w:r>
        <w:rPr>
          <w:rFonts w:ascii="Soberana Sans" w:hAnsi="Soberana Sans"/>
          <w:sz w:val="20"/>
        </w:rPr>
        <w:t xml:space="preserve">Que la Disposición 25.1.8. </w:t>
      </w:r>
      <w:proofErr w:type="gramStart"/>
      <w:r w:rsidRPr="000D556E">
        <w:rPr>
          <w:rFonts w:ascii="Soberana Sans" w:hAnsi="Soberana Sans"/>
          <w:sz w:val="20"/>
        </w:rPr>
        <w:t>de</w:t>
      </w:r>
      <w:proofErr w:type="gramEnd"/>
      <w:r w:rsidRPr="000D556E">
        <w:rPr>
          <w:rFonts w:ascii="Soberana Sans" w:hAnsi="Soberana Sans"/>
          <w:sz w:val="20"/>
        </w:rPr>
        <w:t xml:space="preserve"> la Circular Única de</w:t>
      </w:r>
      <w:r>
        <w:rPr>
          <w:rFonts w:ascii="Soberana Sans" w:hAnsi="Soberana Sans"/>
          <w:sz w:val="20"/>
        </w:rPr>
        <w:t xml:space="preserve"> Seguros y Fianzas establece que l</w:t>
      </w:r>
      <w:r w:rsidRPr="00643095">
        <w:rPr>
          <w:rFonts w:ascii="Soberana Sans" w:hAnsi="Soberana Sans"/>
          <w:sz w:val="20"/>
        </w:rPr>
        <w:t xml:space="preserve">as Sociedades Controladoras deberán difundir a través de la página principal de su portal electrónico en Internet, los estados financieros básicos consolidados anuales dictaminados con cifras al mes de diciembre de cada año, incluyendo sus notas, así como el dictamen realizado por el auditor externo independiente, </w:t>
      </w:r>
      <w:r>
        <w:rPr>
          <w:rFonts w:ascii="Soberana Sans" w:hAnsi="Soberana Sans"/>
          <w:sz w:val="20"/>
        </w:rPr>
        <w:t>que</w:t>
      </w:r>
      <w:r w:rsidRPr="00643095">
        <w:rPr>
          <w:rFonts w:ascii="Soberana Sans" w:hAnsi="Soberana Sans"/>
          <w:sz w:val="20"/>
        </w:rPr>
        <w:t xml:space="preserve"> deberá cumplir con</w:t>
      </w:r>
      <w:r>
        <w:rPr>
          <w:rFonts w:ascii="Soberana Sans" w:hAnsi="Soberana Sans"/>
          <w:sz w:val="20"/>
        </w:rPr>
        <w:t xml:space="preserve"> los requisitos </w:t>
      </w:r>
      <w:r w:rsidR="004C20C1">
        <w:rPr>
          <w:rFonts w:ascii="Soberana Sans" w:hAnsi="Soberana Sans"/>
          <w:sz w:val="20"/>
        </w:rPr>
        <w:t>previstos</w:t>
      </w:r>
      <w:r>
        <w:rPr>
          <w:rFonts w:ascii="Soberana Sans" w:hAnsi="Soberana Sans"/>
          <w:sz w:val="20"/>
        </w:rPr>
        <w:t xml:space="preserve"> en </w:t>
      </w:r>
      <w:r w:rsidR="004C20C1">
        <w:rPr>
          <w:rFonts w:ascii="Soberana Sans" w:hAnsi="Soberana Sans"/>
          <w:sz w:val="20"/>
        </w:rPr>
        <w:t>la citada Circular Única</w:t>
      </w:r>
      <w:r>
        <w:rPr>
          <w:rFonts w:ascii="Soberana Sans" w:hAnsi="Soberana Sans"/>
          <w:sz w:val="20"/>
        </w:rPr>
        <w:t>.</w:t>
      </w:r>
    </w:p>
    <w:p w14:paraId="03D88DDB" w14:textId="77777777" w:rsidR="00200D4C" w:rsidRDefault="00200D4C" w:rsidP="00200D4C">
      <w:pPr>
        <w:pStyle w:val="Texto"/>
        <w:spacing w:after="0" w:line="240" w:lineRule="auto"/>
        <w:ind w:firstLine="289"/>
        <w:rPr>
          <w:rFonts w:ascii="Soberana Sans" w:hAnsi="Soberana Sans"/>
          <w:sz w:val="20"/>
        </w:rPr>
      </w:pPr>
    </w:p>
    <w:p w14:paraId="25C6BA37" w14:textId="2A95FDBF" w:rsidR="00200D4C" w:rsidRDefault="00200D4C" w:rsidP="00200D4C">
      <w:pPr>
        <w:pStyle w:val="Texto"/>
        <w:spacing w:after="0" w:line="240" w:lineRule="auto"/>
        <w:ind w:firstLine="289"/>
        <w:rPr>
          <w:rFonts w:ascii="Soberana Sans" w:hAnsi="Soberana Sans"/>
          <w:sz w:val="20"/>
        </w:rPr>
      </w:pPr>
      <w:r>
        <w:rPr>
          <w:rFonts w:ascii="Soberana Sans" w:hAnsi="Soberana Sans"/>
          <w:sz w:val="20"/>
        </w:rPr>
        <w:lastRenderedPageBreak/>
        <w:t xml:space="preserve">Que la Disposición 25.1.22. </w:t>
      </w:r>
      <w:proofErr w:type="gramStart"/>
      <w:r w:rsidRPr="000D556E">
        <w:rPr>
          <w:rFonts w:ascii="Soberana Sans" w:hAnsi="Soberana Sans"/>
          <w:sz w:val="20"/>
        </w:rPr>
        <w:t>de</w:t>
      </w:r>
      <w:proofErr w:type="gramEnd"/>
      <w:r w:rsidRPr="000D556E">
        <w:rPr>
          <w:rFonts w:ascii="Soberana Sans" w:hAnsi="Soberana Sans"/>
          <w:sz w:val="20"/>
        </w:rPr>
        <w:t xml:space="preserve"> la Circular Única de</w:t>
      </w:r>
      <w:r>
        <w:rPr>
          <w:rFonts w:ascii="Soberana Sans" w:hAnsi="Soberana Sans"/>
          <w:sz w:val="20"/>
        </w:rPr>
        <w:t xml:space="preserve"> Seguros y Fianzas establece que l</w:t>
      </w:r>
      <w:r w:rsidRPr="00A22602">
        <w:rPr>
          <w:rFonts w:ascii="Soberana Sans" w:hAnsi="Soberana Sans"/>
          <w:sz w:val="20"/>
        </w:rPr>
        <w:t>os estados financieros anuales consolidados de la</w:t>
      </w:r>
      <w:r>
        <w:rPr>
          <w:rFonts w:ascii="Soberana Sans" w:hAnsi="Soberana Sans"/>
          <w:sz w:val="20"/>
        </w:rPr>
        <w:t>s</w:t>
      </w:r>
      <w:r w:rsidRPr="00A22602">
        <w:rPr>
          <w:rFonts w:ascii="Soberana Sans" w:hAnsi="Soberana Sans"/>
          <w:sz w:val="20"/>
        </w:rPr>
        <w:t xml:space="preserve"> Sociedad</w:t>
      </w:r>
      <w:r>
        <w:rPr>
          <w:rFonts w:ascii="Soberana Sans" w:hAnsi="Soberana Sans"/>
          <w:sz w:val="20"/>
        </w:rPr>
        <w:t>es</w:t>
      </w:r>
      <w:r w:rsidRPr="00A22602">
        <w:rPr>
          <w:rFonts w:ascii="Soberana Sans" w:hAnsi="Soberana Sans"/>
          <w:sz w:val="20"/>
        </w:rPr>
        <w:t xml:space="preserve"> Controladora</w:t>
      </w:r>
      <w:r>
        <w:rPr>
          <w:rFonts w:ascii="Soberana Sans" w:hAnsi="Soberana Sans"/>
          <w:sz w:val="20"/>
        </w:rPr>
        <w:t>s</w:t>
      </w:r>
      <w:r w:rsidRPr="00A22602">
        <w:rPr>
          <w:rFonts w:ascii="Soberana Sans" w:hAnsi="Soberana Sans"/>
          <w:sz w:val="20"/>
        </w:rPr>
        <w:t>, deberán ser dictaminados por auditores externos que cumplan con los requisitos establecidos</w:t>
      </w:r>
      <w:r>
        <w:rPr>
          <w:rFonts w:ascii="Soberana Sans" w:hAnsi="Soberana Sans"/>
          <w:sz w:val="20"/>
        </w:rPr>
        <w:t xml:space="preserve"> en </w:t>
      </w:r>
      <w:r w:rsidR="004C20C1">
        <w:rPr>
          <w:rFonts w:ascii="Soberana Sans" w:hAnsi="Soberana Sans"/>
          <w:sz w:val="20"/>
        </w:rPr>
        <w:t>la citada Circular Única.</w:t>
      </w:r>
    </w:p>
    <w:p w14:paraId="53E29789" w14:textId="77777777" w:rsidR="00200D4C" w:rsidRDefault="00200D4C" w:rsidP="00200D4C">
      <w:pPr>
        <w:pStyle w:val="Texto"/>
        <w:spacing w:after="0" w:line="240" w:lineRule="auto"/>
        <w:ind w:firstLine="289"/>
        <w:rPr>
          <w:rFonts w:ascii="Soberana Sans" w:hAnsi="Soberana Sans"/>
          <w:sz w:val="20"/>
        </w:rPr>
      </w:pPr>
    </w:p>
    <w:p w14:paraId="36DC4E84" w14:textId="57345FE7" w:rsidR="00200D4C" w:rsidRPr="008D02DA" w:rsidRDefault="00200D4C" w:rsidP="00200D4C">
      <w:pPr>
        <w:pStyle w:val="Texto"/>
        <w:spacing w:after="0" w:line="240" w:lineRule="auto"/>
        <w:ind w:firstLine="289"/>
        <w:rPr>
          <w:rFonts w:ascii="Soberana Sans" w:hAnsi="Soberana Sans"/>
          <w:sz w:val="20"/>
        </w:rPr>
      </w:pPr>
      <w:r w:rsidRPr="008D02DA">
        <w:rPr>
          <w:rFonts w:ascii="Soberana Sans" w:hAnsi="Soberana Sans"/>
          <w:sz w:val="20"/>
        </w:rPr>
        <w:t>Que resulta necesario modificar la</w:t>
      </w:r>
      <w:r>
        <w:rPr>
          <w:rFonts w:ascii="Soberana Sans" w:hAnsi="Soberana Sans"/>
          <w:sz w:val="20"/>
        </w:rPr>
        <w:t>s Disposicio</w:t>
      </w:r>
      <w:r w:rsidRPr="008D02DA">
        <w:rPr>
          <w:rFonts w:ascii="Soberana Sans" w:hAnsi="Soberana Sans"/>
          <w:sz w:val="20"/>
        </w:rPr>
        <w:t>n</w:t>
      </w:r>
      <w:r>
        <w:rPr>
          <w:rFonts w:ascii="Soberana Sans" w:hAnsi="Soberana Sans"/>
          <w:sz w:val="20"/>
        </w:rPr>
        <w:t xml:space="preserve">es 25.1.8. </w:t>
      </w:r>
      <w:proofErr w:type="gramStart"/>
      <w:r>
        <w:rPr>
          <w:rFonts w:ascii="Soberana Sans" w:hAnsi="Soberana Sans"/>
          <w:sz w:val="20"/>
        </w:rPr>
        <w:t>y</w:t>
      </w:r>
      <w:proofErr w:type="gramEnd"/>
      <w:r w:rsidRPr="008D02DA">
        <w:rPr>
          <w:rFonts w:ascii="Soberana Sans" w:hAnsi="Soberana Sans"/>
          <w:sz w:val="20"/>
        </w:rPr>
        <w:t xml:space="preserve"> </w:t>
      </w:r>
      <w:r>
        <w:rPr>
          <w:rFonts w:ascii="Soberana Sans" w:hAnsi="Soberana Sans"/>
          <w:sz w:val="20"/>
        </w:rPr>
        <w:t xml:space="preserve">25.1.22. </w:t>
      </w:r>
      <w:r w:rsidRPr="000D556E">
        <w:rPr>
          <w:rFonts w:ascii="Soberana Sans" w:hAnsi="Soberana Sans"/>
          <w:sz w:val="20"/>
        </w:rPr>
        <w:t>de la Circular Única de</w:t>
      </w:r>
      <w:r>
        <w:rPr>
          <w:rFonts w:ascii="Soberana Sans" w:hAnsi="Soberana Sans"/>
          <w:sz w:val="20"/>
        </w:rPr>
        <w:t xml:space="preserve"> Seguros y Fianzas, a fin de hacer referencia </w:t>
      </w:r>
      <w:r w:rsidR="00F17CA8">
        <w:rPr>
          <w:rFonts w:ascii="Soberana Sans" w:hAnsi="Soberana Sans"/>
          <w:sz w:val="20"/>
        </w:rPr>
        <w:t xml:space="preserve">a </w:t>
      </w:r>
      <w:r>
        <w:rPr>
          <w:rFonts w:ascii="Soberana Sans" w:hAnsi="Soberana Sans"/>
          <w:sz w:val="20"/>
        </w:rPr>
        <w:t xml:space="preserve">los requisitos que deben cumplir los auditores externos con </w:t>
      </w:r>
      <w:r w:rsidR="00F17CA8">
        <w:rPr>
          <w:rFonts w:ascii="Soberana Sans" w:hAnsi="Soberana Sans"/>
          <w:sz w:val="20"/>
        </w:rPr>
        <w:t xml:space="preserve">motivo de la emisión de </w:t>
      </w:r>
      <w:r>
        <w:rPr>
          <w:rFonts w:ascii="Soberana Sans" w:hAnsi="Soberana Sans"/>
          <w:sz w:val="20"/>
        </w:rPr>
        <w:t>las</w:t>
      </w:r>
      <w:r w:rsidR="00F17CA8">
        <w:rPr>
          <w:rFonts w:ascii="Soberana Sans" w:hAnsi="Soberana Sans"/>
          <w:sz w:val="20"/>
        </w:rPr>
        <w:t xml:space="preserve"> citadas</w:t>
      </w:r>
      <w:r>
        <w:rPr>
          <w:rFonts w:ascii="Soberana Sans" w:hAnsi="Soberana Sans"/>
          <w:sz w:val="20"/>
        </w:rPr>
        <w:t xml:space="preserve"> “Disposiciones de carácter general aplicables a las sociedades controladoras de grupos financieros y </w:t>
      </w:r>
      <w:proofErr w:type="spellStart"/>
      <w:r>
        <w:rPr>
          <w:rFonts w:ascii="Soberana Sans" w:hAnsi="Soberana Sans"/>
          <w:sz w:val="20"/>
        </w:rPr>
        <w:t>subcontroladoras</w:t>
      </w:r>
      <w:proofErr w:type="spellEnd"/>
      <w:r>
        <w:rPr>
          <w:rFonts w:ascii="Soberana Sans" w:hAnsi="Soberana Sans"/>
          <w:sz w:val="20"/>
        </w:rPr>
        <w:t xml:space="preserve"> que regulan las materias que corresponden de manera conjunta a las Comisiones Nacionales Supervisoras”.</w:t>
      </w:r>
    </w:p>
    <w:p w14:paraId="3CBCFF6F" w14:textId="77777777" w:rsidR="00200D4C" w:rsidRDefault="00200D4C" w:rsidP="00200D4C">
      <w:pPr>
        <w:pStyle w:val="Texto"/>
        <w:spacing w:after="0" w:line="240" w:lineRule="auto"/>
        <w:rPr>
          <w:rFonts w:ascii="Soberana Sans" w:hAnsi="Soberana Sans"/>
          <w:sz w:val="20"/>
        </w:rPr>
      </w:pPr>
    </w:p>
    <w:p w14:paraId="39A02B3A" w14:textId="77777777" w:rsidR="00200D4C" w:rsidRDefault="00200D4C" w:rsidP="00200D4C">
      <w:pPr>
        <w:ind w:firstLine="284"/>
        <w:jc w:val="both"/>
        <w:rPr>
          <w:rFonts w:ascii="Georgia" w:hAnsi="Georgia" w:cs="Arial"/>
          <w:b/>
          <w:sz w:val="20"/>
          <w:szCs w:val="20"/>
        </w:rPr>
      </w:pPr>
      <w:r w:rsidRPr="009A0EAA">
        <w:rPr>
          <w:rFonts w:ascii="Soberana Sans" w:hAnsi="Soberana Sans"/>
          <w:sz w:val="20"/>
        </w:rPr>
        <w:t>Por lo anteriormente expuesto, la Comisión Nacional de Seguros y Fianzas ha resuelto expedir la siguiente modificación a la Circular Única de Seguros y Fianzas en los siguientes términos:</w:t>
      </w:r>
    </w:p>
    <w:p w14:paraId="50A72B1C" w14:textId="200E1110" w:rsidR="00200D4C" w:rsidRPr="009A0EAA" w:rsidRDefault="00200D4C" w:rsidP="00200D4C">
      <w:pPr>
        <w:pStyle w:val="ANOTACION"/>
        <w:spacing w:before="0" w:after="0" w:line="219" w:lineRule="exact"/>
        <w:rPr>
          <w:rFonts w:ascii="Soberana Sans" w:hAnsi="Soberana Sans"/>
          <w:sz w:val="20"/>
        </w:rPr>
      </w:pPr>
      <w:r w:rsidRPr="009A0EAA">
        <w:rPr>
          <w:rFonts w:ascii="Soberana Sans" w:hAnsi="Soberana Sans"/>
          <w:sz w:val="20"/>
        </w:rPr>
        <w:t xml:space="preserve">CIRCULAR </w:t>
      </w:r>
      <w:r w:rsidRPr="00E9413B">
        <w:rPr>
          <w:rFonts w:ascii="Soberana Sans" w:hAnsi="Soberana Sans"/>
          <w:color w:val="000000"/>
          <w:sz w:val="20"/>
        </w:rPr>
        <w:t xml:space="preserve">MODIFICATORIA </w:t>
      </w:r>
      <w:r w:rsidR="003F44DF">
        <w:rPr>
          <w:rFonts w:ascii="Soberana Sans" w:hAnsi="Soberana Sans"/>
          <w:color w:val="000000"/>
          <w:sz w:val="20"/>
        </w:rPr>
        <w:t>8</w:t>
      </w:r>
      <w:r w:rsidRPr="00E9413B">
        <w:rPr>
          <w:rFonts w:ascii="Soberana Sans" w:hAnsi="Soberana Sans"/>
          <w:color w:val="000000"/>
          <w:sz w:val="20"/>
        </w:rPr>
        <w:t xml:space="preserve">/18 </w:t>
      </w:r>
      <w:r w:rsidRPr="009A0EAA">
        <w:rPr>
          <w:rFonts w:ascii="Soberana Sans" w:hAnsi="Soberana Sans"/>
          <w:sz w:val="20"/>
        </w:rPr>
        <w:t>DE LA ÚNICA DE SEGUROS Y FIANZAS</w:t>
      </w:r>
    </w:p>
    <w:p w14:paraId="382D9F3F" w14:textId="77777777" w:rsidR="00200D4C" w:rsidRPr="009A0EAA" w:rsidRDefault="00200D4C" w:rsidP="00200D4C">
      <w:pPr>
        <w:pStyle w:val="ANOTACION"/>
        <w:spacing w:before="0" w:after="0" w:line="219" w:lineRule="exact"/>
        <w:rPr>
          <w:rFonts w:ascii="Soberana Sans" w:hAnsi="Soberana Sans"/>
          <w:sz w:val="20"/>
        </w:rPr>
      </w:pPr>
      <w:r w:rsidRPr="009A0EAA">
        <w:rPr>
          <w:rFonts w:ascii="Soberana Sans" w:hAnsi="Soberana Sans"/>
          <w:sz w:val="20"/>
        </w:rPr>
        <w:t>(</w:t>
      </w:r>
      <w:r>
        <w:rPr>
          <w:rFonts w:ascii="Soberana Sans" w:hAnsi="Soberana Sans"/>
          <w:sz w:val="20"/>
        </w:rPr>
        <w:t>Disposiciones 25.1.8. y 25.1.22.</w:t>
      </w:r>
      <w:r w:rsidRPr="009A0EAA">
        <w:rPr>
          <w:rFonts w:ascii="Soberana Sans" w:hAnsi="Soberana Sans"/>
          <w:sz w:val="20"/>
        </w:rPr>
        <w:t>)</w:t>
      </w:r>
    </w:p>
    <w:p w14:paraId="49431811" w14:textId="77777777" w:rsidR="00200D4C" w:rsidRPr="009A0EAA" w:rsidRDefault="00200D4C" w:rsidP="00200D4C">
      <w:pPr>
        <w:pStyle w:val="ANOTACION"/>
        <w:spacing w:before="0" w:after="0" w:line="219" w:lineRule="exact"/>
        <w:rPr>
          <w:rFonts w:ascii="Soberana Sans" w:hAnsi="Soberana Sans"/>
          <w:sz w:val="20"/>
        </w:rPr>
      </w:pPr>
    </w:p>
    <w:p w14:paraId="2DFF1866" w14:textId="77777777" w:rsidR="00200D4C" w:rsidRPr="0025592A" w:rsidRDefault="00200D4C" w:rsidP="00200D4C">
      <w:pPr>
        <w:pStyle w:val="Texto"/>
        <w:spacing w:after="0" w:line="240" w:lineRule="auto"/>
        <w:ind w:firstLine="0"/>
        <w:rPr>
          <w:rFonts w:ascii="Soberana Sans" w:hAnsi="Soberana Sans"/>
          <w:bCs/>
          <w:color w:val="000000"/>
          <w:sz w:val="20"/>
        </w:rPr>
      </w:pPr>
      <w:r>
        <w:rPr>
          <w:rFonts w:ascii="Soberana Sans" w:hAnsi="Soberana Sans"/>
          <w:b/>
          <w:bCs/>
          <w:color w:val="000000"/>
          <w:sz w:val="20"/>
        </w:rPr>
        <w:t>ÚNICA</w:t>
      </w:r>
      <w:r w:rsidRPr="0025592A">
        <w:rPr>
          <w:rFonts w:ascii="Soberana Sans" w:hAnsi="Soberana Sans"/>
          <w:b/>
          <w:bCs/>
          <w:color w:val="000000"/>
          <w:sz w:val="20"/>
        </w:rPr>
        <w:t xml:space="preserve">.- </w:t>
      </w:r>
      <w:r w:rsidRPr="0025592A">
        <w:rPr>
          <w:rFonts w:ascii="Soberana Sans" w:hAnsi="Soberana Sans"/>
          <w:bCs/>
          <w:color w:val="000000"/>
          <w:sz w:val="20"/>
        </w:rPr>
        <w:t>Se modifica</w:t>
      </w:r>
      <w:r>
        <w:rPr>
          <w:rFonts w:ascii="Soberana Sans" w:hAnsi="Soberana Sans"/>
          <w:bCs/>
          <w:color w:val="000000"/>
          <w:sz w:val="20"/>
        </w:rPr>
        <w:t>n</w:t>
      </w:r>
      <w:r w:rsidRPr="0025592A">
        <w:rPr>
          <w:rFonts w:ascii="Soberana Sans" w:hAnsi="Soberana Sans"/>
          <w:bCs/>
          <w:color w:val="000000"/>
          <w:sz w:val="20"/>
        </w:rPr>
        <w:t xml:space="preserve"> la</w:t>
      </w:r>
      <w:r>
        <w:rPr>
          <w:rFonts w:ascii="Soberana Sans" w:hAnsi="Soberana Sans"/>
          <w:bCs/>
          <w:color w:val="000000"/>
          <w:sz w:val="20"/>
        </w:rPr>
        <w:t>s</w:t>
      </w:r>
      <w:r w:rsidRPr="0025592A">
        <w:rPr>
          <w:rFonts w:ascii="Soberana Sans" w:hAnsi="Soberana Sans"/>
          <w:bCs/>
          <w:color w:val="000000"/>
          <w:sz w:val="20"/>
        </w:rPr>
        <w:t xml:space="preserve"> Disposici</w:t>
      </w:r>
      <w:r>
        <w:rPr>
          <w:rFonts w:ascii="Soberana Sans" w:hAnsi="Soberana Sans"/>
          <w:bCs/>
          <w:color w:val="000000"/>
          <w:sz w:val="20"/>
        </w:rPr>
        <w:t>ones</w:t>
      </w:r>
      <w:r w:rsidRPr="0025592A">
        <w:rPr>
          <w:rFonts w:ascii="Soberana Sans" w:hAnsi="Soberana Sans"/>
          <w:bCs/>
          <w:color w:val="000000"/>
          <w:sz w:val="20"/>
        </w:rPr>
        <w:t xml:space="preserve"> </w:t>
      </w:r>
      <w:r>
        <w:rPr>
          <w:rFonts w:ascii="Soberana Sans" w:hAnsi="Soberana Sans"/>
          <w:bCs/>
          <w:color w:val="000000"/>
          <w:sz w:val="20"/>
        </w:rPr>
        <w:t xml:space="preserve">25.1.8. </w:t>
      </w:r>
      <w:proofErr w:type="gramStart"/>
      <w:r>
        <w:rPr>
          <w:rFonts w:ascii="Soberana Sans" w:hAnsi="Soberana Sans"/>
          <w:bCs/>
          <w:color w:val="000000"/>
          <w:sz w:val="20"/>
        </w:rPr>
        <w:t>y</w:t>
      </w:r>
      <w:proofErr w:type="gramEnd"/>
      <w:r>
        <w:rPr>
          <w:rFonts w:ascii="Soberana Sans" w:hAnsi="Soberana Sans"/>
          <w:bCs/>
          <w:color w:val="000000"/>
          <w:sz w:val="20"/>
        </w:rPr>
        <w:t xml:space="preserve"> 25.1.22.</w:t>
      </w:r>
      <w:r w:rsidRPr="0025592A">
        <w:rPr>
          <w:rFonts w:ascii="Soberana Sans" w:hAnsi="Soberana Sans"/>
          <w:bCs/>
          <w:color w:val="000000"/>
          <w:sz w:val="20"/>
        </w:rPr>
        <w:t xml:space="preserve"> </w:t>
      </w:r>
      <w:proofErr w:type="gramStart"/>
      <w:r w:rsidRPr="0025592A">
        <w:rPr>
          <w:rFonts w:ascii="Soberana Sans" w:hAnsi="Soberana Sans"/>
          <w:bCs/>
          <w:color w:val="000000"/>
          <w:sz w:val="20"/>
        </w:rPr>
        <w:t>de</w:t>
      </w:r>
      <w:proofErr w:type="gramEnd"/>
      <w:r w:rsidRPr="0025592A">
        <w:rPr>
          <w:rFonts w:ascii="Soberana Sans" w:hAnsi="Soberana Sans"/>
          <w:bCs/>
          <w:color w:val="000000"/>
          <w:sz w:val="20"/>
        </w:rPr>
        <w:t xml:space="preserve"> la Circular Única de Seguros y Fianzas para quedar como sigue:</w:t>
      </w:r>
    </w:p>
    <w:p w14:paraId="2E57BAD3" w14:textId="77777777" w:rsidR="00200D4C" w:rsidRPr="0025592A" w:rsidRDefault="00200D4C" w:rsidP="00200D4C">
      <w:pPr>
        <w:pStyle w:val="Texto"/>
        <w:spacing w:after="0" w:line="240" w:lineRule="auto"/>
        <w:ind w:firstLine="0"/>
        <w:rPr>
          <w:rFonts w:ascii="Soberana Sans" w:hAnsi="Soberana Sans"/>
          <w:bCs/>
          <w:color w:val="000000"/>
          <w:sz w:val="20"/>
        </w:rPr>
      </w:pPr>
    </w:p>
    <w:p w14:paraId="76A70C36" w14:textId="0F5000C1" w:rsidR="00200D4C" w:rsidRDefault="00200D4C" w:rsidP="00200D4C">
      <w:pPr>
        <w:pStyle w:val="Texto"/>
        <w:spacing w:after="0" w:line="240" w:lineRule="auto"/>
        <w:ind w:left="851" w:hanging="851"/>
        <w:rPr>
          <w:rFonts w:ascii="Soberana Sans" w:hAnsi="Soberana Sans"/>
          <w:bCs/>
          <w:color w:val="000000"/>
          <w:sz w:val="20"/>
        </w:rPr>
      </w:pPr>
      <w:r w:rsidRPr="006C0218">
        <w:rPr>
          <w:rFonts w:ascii="Soberana Sans" w:hAnsi="Soberana Sans"/>
          <w:bCs/>
          <w:color w:val="000000"/>
          <w:sz w:val="20"/>
        </w:rPr>
        <w:t>25.1.8.</w:t>
      </w:r>
      <w:r w:rsidRPr="006C0218">
        <w:rPr>
          <w:rFonts w:ascii="Soberana Sans" w:hAnsi="Soberana Sans"/>
          <w:bCs/>
          <w:color w:val="000000"/>
          <w:sz w:val="20"/>
        </w:rPr>
        <w:tab/>
        <w:t xml:space="preserve">Las Sociedades Controladoras deberán difundir a través de la página principal de su portal electrónico en Internet, los estados financieros básicos consolidados anuales dictaminados con cifras al mes de diciembre de cada año, incluyendo sus notas, así como el dictamen realizado por el auditor externo independiente, dentro de los sesenta días naturales siguientes al cierre del ejercicio respectivo. </w:t>
      </w:r>
      <w:r w:rsidR="00526273">
        <w:rPr>
          <w:rFonts w:ascii="Soberana Sans" w:hAnsi="Soberana Sans"/>
          <w:bCs/>
          <w:color w:val="000000"/>
          <w:sz w:val="20"/>
        </w:rPr>
        <w:t>En adición de lo anterior, e</w:t>
      </w:r>
      <w:r w:rsidRPr="006C0218">
        <w:rPr>
          <w:rFonts w:ascii="Soberana Sans" w:hAnsi="Soberana Sans"/>
          <w:bCs/>
          <w:color w:val="000000"/>
          <w:sz w:val="20"/>
        </w:rPr>
        <w:t xml:space="preserve">l auditor externo independiente deberá cumplir con los requisitos señalados en </w:t>
      </w:r>
      <w:r>
        <w:rPr>
          <w:rFonts w:ascii="Soberana Sans" w:hAnsi="Soberana Sans"/>
          <w:bCs/>
          <w:color w:val="000000"/>
          <w:sz w:val="20"/>
        </w:rPr>
        <w:t xml:space="preserve">las </w:t>
      </w:r>
      <w:r w:rsidR="00526273">
        <w:rPr>
          <w:rFonts w:ascii="Soberana Sans" w:hAnsi="Soberana Sans"/>
          <w:bCs/>
          <w:color w:val="000000"/>
          <w:sz w:val="20"/>
        </w:rPr>
        <w:t>“</w:t>
      </w:r>
      <w:r w:rsidRPr="006C0218">
        <w:rPr>
          <w:rFonts w:ascii="Soberana Sans" w:hAnsi="Soberana Sans"/>
          <w:bCs/>
          <w:color w:val="000000"/>
          <w:sz w:val="20"/>
        </w:rPr>
        <w:t xml:space="preserve">Disposiciones de carácter general aplicables a las sociedades controladoras de grupos financieros y </w:t>
      </w:r>
      <w:proofErr w:type="spellStart"/>
      <w:r w:rsidRPr="006C0218">
        <w:rPr>
          <w:rFonts w:ascii="Soberana Sans" w:hAnsi="Soberana Sans"/>
          <w:bCs/>
          <w:color w:val="000000"/>
          <w:sz w:val="20"/>
        </w:rPr>
        <w:t>subcontroladoras</w:t>
      </w:r>
      <w:proofErr w:type="spellEnd"/>
      <w:r w:rsidRPr="006C0218">
        <w:rPr>
          <w:rFonts w:ascii="Soberana Sans" w:hAnsi="Soberana Sans"/>
          <w:bCs/>
          <w:color w:val="000000"/>
          <w:sz w:val="20"/>
        </w:rPr>
        <w:t xml:space="preserve"> que regulan las materias que corresponden de manera conjunta a las Comisiones Nacionales Supervisoras</w:t>
      </w:r>
      <w:r w:rsidR="00526273">
        <w:rPr>
          <w:rFonts w:ascii="Soberana Sans" w:hAnsi="Soberana Sans"/>
          <w:bCs/>
          <w:color w:val="000000"/>
          <w:sz w:val="20"/>
        </w:rPr>
        <w:t>”</w:t>
      </w:r>
      <w:r w:rsidRPr="006C0218">
        <w:rPr>
          <w:rFonts w:ascii="Soberana Sans" w:hAnsi="Soberana Sans"/>
          <w:bCs/>
          <w:color w:val="000000"/>
          <w:sz w:val="20"/>
        </w:rPr>
        <w:t>.</w:t>
      </w:r>
    </w:p>
    <w:p w14:paraId="018C727A" w14:textId="77777777" w:rsidR="00200D4C" w:rsidRDefault="00200D4C" w:rsidP="00200D4C">
      <w:pPr>
        <w:pStyle w:val="Texto"/>
        <w:spacing w:after="0" w:line="240" w:lineRule="auto"/>
        <w:ind w:left="851" w:hanging="851"/>
        <w:rPr>
          <w:rFonts w:ascii="Soberana Sans" w:hAnsi="Soberana Sans"/>
          <w:bCs/>
          <w:color w:val="000000"/>
          <w:sz w:val="20"/>
        </w:rPr>
      </w:pPr>
    </w:p>
    <w:p w14:paraId="0410535E" w14:textId="77777777" w:rsidR="00200D4C" w:rsidRDefault="00200D4C" w:rsidP="00200D4C">
      <w:pPr>
        <w:pStyle w:val="Texto"/>
        <w:spacing w:after="0" w:line="240" w:lineRule="auto"/>
        <w:ind w:left="851" w:hanging="851"/>
        <w:rPr>
          <w:rFonts w:ascii="Soberana Sans" w:hAnsi="Soberana Sans"/>
          <w:bCs/>
          <w:color w:val="000000"/>
          <w:sz w:val="20"/>
        </w:rPr>
      </w:pPr>
      <w:r>
        <w:rPr>
          <w:rFonts w:ascii="Soberana Sans" w:hAnsi="Soberana Sans"/>
          <w:bCs/>
          <w:color w:val="000000"/>
          <w:sz w:val="20"/>
        </w:rPr>
        <w:tab/>
        <w:t>…</w:t>
      </w:r>
    </w:p>
    <w:p w14:paraId="015AF49A" w14:textId="77777777" w:rsidR="00200D4C" w:rsidRDefault="00200D4C" w:rsidP="00200D4C">
      <w:pPr>
        <w:pStyle w:val="Texto"/>
        <w:spacing w:after="0" w:line="240" w:lineRule="auto"/>
        <w:ind w:left="851" w:hanging="851"/>
        <w:rPr>
          <w:rFonts w:ascii="Soberana Sans" w:hAnsi="Soberana Sans"/>
          <w:bCs/>
          <w:color w:val="000000"/>
          <w:sz w:val="20"/>
        </w:rPr>
      </w:pPr>
    </w:p>
    <w:p w14:paraId="19666071" w14:textId="6293DFAB" w:rsidR="00200D4C" w:rsidRDefault="00526273" w:rsidP="00526273">
      <w:pPr>
        <w:pStyle w:val="Texto"/>
        <w:spacing w:after="0" w:line="240" w:lineRule="auto"/>
        <w:ind w:left="851" w:firstLine="0"/>
        <w:rPr>
          <w:rFonts w:ascii="Soberana Sans" w:hAnsi="Soberana Sans"/>
          <w:bCs/>
          <w:color w:val="000000"/>
          <w:sz w:val="20"/>
        </w:rPr>
      </w:pPr>
      <w:r>
        <w:rPr>
          <w:rFonts w:ascii="Soberana Sans" w:hAnsi="Soberana Sans"/>
          <w:bCs/>
          <w:color w:val="000000"/>
          <w:sz w:val="20"/>
        </w:rPr>
        <w:t xml:space="preserve">I. a V.   </w:t>
      </w:r>
      <w:r w:rsidR="00200D4C">
        <w:rPr>
          <w:rFonts w:ascii="Soberana Sans" w:hAnsi="Soberana Sans"/>
          <w:bCs/>
          <w:color w:val="000000"/>
          <w:sz w:val="20"/>
        </w:rPr>
        <w:t>…</w:t>
      </w:r>
    </w:p>
    <w:p w14:paraId="078E94DE" w14:textId="77777777" w:rsidR="00200D4C" w:rsidRDefault="00200D4C" w:rsidP="00200D4C">
      <w:pPr>
        <w:pStyle w:val="Texto"/>
        <w:spacing w:after="0" w:line="240" w:lineRule="auto"/>
        <w:ind w:left="851" w:hanging="851"/>
        <w:rPr>
          <w:rFonts w:ascii="Soberana Sans" w:hAnsi="Soberana Sans"/>
          <w:bCs/>
          <w:color w:val="000000"/>
          <w:sz w:val="20"/>
        </w:rPr>
      </w:pPr>
    </w:p>
    <w:p w14:paraId="03F1AC95" w14:textId="7A093B02" w:rsidR="00200D4C" w:rsidRDefault="00200D4C" w:rsidP="00200D4C">
      <w:pPr>
        <w:pStyle w:val="Texto"/>
        <w:spacing w:after="0" w:line="240" w:lineRule="auto"/>
        <w:ind w:left="851" w:hanging="851"/>
        <w:rPr>
          <w:rFonts w:ascii="Soberana Sans" w:hAnsi="Soberana Sans"/>
          <w:bCs/>
          <w:color w:val="000000"/>
          <w:sz w:val="20"/>
        </w:rPr>
      </w:pPr>
      <w:r>
        <w:rPr>
          <w:rFonts w:ascii="Soberana Sans" w:hAnsi="Soberana Sans"/>
          <w:bCs/>
          <w:color w:val="000000"/>
          <w:sz w:val="20"/>
        </w:rPr>
        <w:t xml:space="preserve">25.1.22.  </w:t>
      </w:r>
      <w:r w:rsidRPr="00245D4E">
        <w:rPr>
          <w:rFonts w:ascii="Soberana Sans" w:hAnsi="Soberana Sans"/>
          <w:bCs/>
          <w:color w:val="000000"/>
          <w:sz w:val="20"/>
        </w:rPr>
        <w:t xml:space="preserve">Los estados financieros anuales consolidados de la Sociedad Controladora, deberán ser dictaminados por auditores externos que cumplan con los requisitos establecidos en </w:t>
      </w:r>
      <w:r>
        <w:rPr>
          <w:rFonts w:ascii="Soberana Sans" w:hAnsi="Soberana Sans"/>
          <w:bCs/>
          <w:color w:val="000000"/>
          <w:sz w:val="20"/>
        </w:rPr>
        <w:t xml:space="preserve">las </w:t>
      </w:r>
      <w:r w:rsidR="003F6BB4">
        <w:rPr>
          <w:rFonts w:ascii="Soberana Sans" w:hAnsi="Soberana Sans"/>
          <w:bCs/>
          <w:color w:val="000000"/>
          <w:sz w:val="20"/>
        </w:rPr>
        <w:t>“</w:t>
      </w:r>
      <w:r>
        <w:rPr>
          <w:rFonts w:ascii="Soberana Sans" w:hAnsi="Soberana Sans"/>
          <w:sz w:val="20"/>
        </w:rPr>
        <w:t xml:space="preserve">Disposiciones de carácter general aplicables a las sociedades controladoras de grupos financieros y </w:t>
      </w:r>
      <w:proofErr w:type="spellStart"/>
      <w:r>
        <w:rPr>
          <w:rFonts w:ascii="Soberana Sans" w:hAnsi="Soberana Sans"/>
          <w:sz w:val="20"/>
        </w:rPr>
        <w:t>subcontroladoras</w:t>
      </w:r>
      <w:proofErr w:type="spellEnd"/>
      <w:r>
        <w:rPr>
          <w:rFonts w:ascii="Soberana Sans" w:hAnsi="Soberana Sans"/>
          <w:sz w:val="20"/>
        </w:rPr>
        <w:t xml:space="preserve"> que regulan las materias que corresponden de manera conjunta a las Comisiones Nacionales Supervisoras</w:t>
      </w:r>
      <w:r w:rsidR="003F6BB4">
        <w:rPr>
          <w:rFonts w:ascii="Soberana Sans" w:hAnsi="Soberana Sans"/>
          <w:sz w:val="20"/>
        </w:rPr>
        <w:t>”</w:t>
      </w:r>
      <w:r w:rsidRPr="00245D4E">
        <w:rPr>
          <w:rFonts w:ascii="Soberana Sans" w:hAnsi="Soberana Sans"/>
          <w:bCs/>
          <w:color w:val="000000"/>
          <w:sz w:val="20"/>
        </w:rPr>
        <w:t xml:space="preserve">, </w:t>
      </w:r>
      <w:r w:rsidRPr="00643095">
        <w:rPr>
          <w:rFonts w:ascii="Soberana Sans" w:hAnsi="Soberana Sans"/>
          <w:bCs/>
          <w:color w:val="000000"/>
          <w:sz w:val="20"/>
        </w:rPr>
        <w:t xml:space="preserve">debiendo presentar ante la Comisión el dictamen, informes y comunicados, conforme a lo señalado en el Capítulo </w:t>
      </w:r>
      <w:r>
        <w:rPr>
          <w:rFonts w:ascii="Soberana Sans" w:hAnsi="Soberana Sans"/>
          <w:bCs/>
          <w:color w:val="000000"/>
          <w:sz w:val="20"/>
        </w:rPr>
        <w:t>23</w:t>
      </w:r>
      <w:r w:rsidRPr="00643095">
        <w:rPr>
          <w:rFonts w:ascii="Soberana Sans" w:hAnsi="Soberana Sans"/>
          <w:bCs/>
          <w:color w:val="000000"/>
          <w:sz w:val="20"/>
        </w:rPr>
        <w:t>.1</w:t>
      </w:r>
      <w:r>
        <w:rPr>
          <w:rFonts w:ascii="Soberana Sans" w:hAnsi="Soberana Sans"/>
          <w:bCs/>
          <w:color w:val="000000"/>
          <w:sz w:val="20"/>
        </w:rPr>
        <w:t>.</w:t>
      </w:r>
      <w:r w:rsidRPr="00643095">
        <w:rPr>
          <w:rFonts w:ascii="Soberana Sans" w:hAnsi="Soberana Sans"/>
          <w:bCs/>
          <w:color w:val="000000"/>
          <w:sz w:val="20"/>
        </w:rPr>
        <w:t xml:space="preserve"> </w:t>
      </w:r>
      <w:proofErr w:type="gramStart"/>
      <w:r w:rsidRPr="00643095">
        <w:rPr>
          <w:rFonts w:ascii="Soberana Sans" w:hAnsi="Soberana Sans"/>
          <w:bCs/>
          <w:color w:val="000000"/>
          <w:sz w:val="20"/>
        </w:rPr>
        <w:t>de</w:t>
      </w:r>
      <w:proofErr w:type="gramEnd"/>
      <w:r w:rsidRPr="00643095">
        <w:rPr>
          <w:rFonts w:ascii="Soberana Sans" w:hAnsi="Soberana Sans"/>
          <w:bCs/>
          <w:color w:val="000000"/>
          <w:sz w:val="20"/>
        </w:rPr>
        <w:t xml:space="preserve"> las presentes Disposiciones.</w:t>
      </w:r>
    </w:p>
    <w:p w14:paraId="69767421" w14:textId="77777777" w:rsidR="00200D4C" w:rsidRDefault="00200D4C" w:rsidP="00200D4C">
      <w:pPr>
        <w:pStyle w:val="Texto"/>
        <w:spacing w:after="0" w:line="240" w:lineRule="auto"/>
        <w:ind w:left="851" w:firstLine="0"/>
        <w:rPr>
          <w:rFonts w:ascii="Soberana Sans" w:hAnsi="Soberana Sans"/>
          <w:bCs/>
          <w:color w:val="000000"/>
          <w:sz w:val="20"/>
        </w:rPr>
      </w:pPr>
    </w:p>
    <w:p w14:paraId="00520DB1" w14:textId="77777777" w:rsidR="00200D4C" w:rsidRDefault="00200D4C" w:rsidP="00200D4C">
      <w:pPr>
        <w:pStyle w:val="Texto"/>
        <w:spacing w:after="0" w:line="240" w:lineRule="auto"/>
        <w:ind w:left="851" w:firstLine="0"/>
        <w:rPr>
          <w:rFonts w:ascii="Soberana Sans" w:hAnsi="Soberana Sans"/>
          <w:bCs/>
          <w:color w:val="000000"/>
          <w:sz w:val="20"/>
        </w:rPr>
      </w:pPr>
      <w:r>
        <w:rPr>
          <w:rFonts w:ascii="Soberana Sans" w:hAnsi="Soberana Sans"/>
          <w:bCs/>
          <w:color w:val="000000"/>
          <w:sz w:val="20"/>
        </w:rPr>
        <w:t>…</w:t>
      </w:r>
    </w:p>
    <w:p w14:paraId="3CAC8D8A" w14:textId="77777777" w:rsidR="00E972C2" w:rsidRDefault="00E972C2" w:rsidP="00200D4C">
      <w:pPr>
        <w:pStyle w:val="Texto"/>
        <w:spacing w:after="0" w:line="240" w:lineRule="auto"/>
        <w:ind w:left="851" w:firstLine="0"/>
        <w:rPr>
          <w:rFonts w:ascii="Soberana Sans" w:hAnsi="Soberana Sans"/>
          <w:bCs/>
          <w:color w:val="000000"/>
          <w:sz w:val="20"/>
        </w:rPr>
      </w:pPr>
    </w:p>
    <w:p w14:paraId="42BECB76" w14:textId="31A064DA" w:rsidR="00E972C2" w:rsidRDefault="00E972C2" w:rsidP="00200D4C">
      <w:pPr>
        <w:pStyle w:val="Texto"/>
        <w:spacing w:after="0" w:line="240" w:lineRule="auto"/>
        <w:ind w:left="851" w:firstLine="0"/>
        <w:rPr>
          <w:rFonts w:ascii="Soberana Sans" w:hAnsi="Soberana Sans"/>
          <w:bCs/>
          <w:color w:val="000000"/>
          <w:sz w:val="20"/>
        </w:rPr>
      </w:pPr>
      <w:r>
        <w:rPr>
          <w:rFonts w:ascii="Soberana Sans" w:hAnsi="Soberana Sans"/>
          <w:bCs/>
          <w:color w:val="000000"/>
          <w:sz w:val="20"/>
        </w:rPr>
        <w:t>…</w:t>
      </w:r>
    </w:p>
    <w:p w14:paraId="31186664" w14:textId="77777777" w:rsidR="00200D4C" w:rsidRPr="00F821C7" w:rsidRDefault="00200D4C" w:rsidP="00200D4C">
      <w:pPr>
        <w:pStyle w:val="Texto"/>
        <w:spacing w:after="0" w:line="240" w:lineRule="auto"/>
        <w:ind w:firstLine="0"/>
        <w:jc w:val="center"/>
        <w:rPr>
          <w:rFonts w:ascii="Soberana Sans" w:hAnsi="Soberana Sans"/>
          <w:b/>
          <w:bCs/>
          <w:color w:val="000000"/>
          <w:spacing w:val="20"/>
          <w:sz w:val="20"/>
        </w:rPr>
      </w:pPr>
      <w:r w:rsidRPr="00F821C7">
        <w:rPr>
          <w:rFonts w:ascii="Soberana Sans" w:hAnsi="Soberana Sans"/>
          <w:b/>
          <w:bCs/>
          <w:color w:val="000000"/>
          <w:spacing w:val="20"/>
          <w:sz w:val="20"/>
        </w:rPr>
        <w:lastRenderedPageBreak/>
        <w:t>TRAN</w:t>
      </w:r>
      <w:r>
        <w:rPr>
          <w:rFonts w:ascii="Soberana Sans" w:hAnsi="Soberana Sans"/>
          <w:b/>
          <w:bCs/>
          <w:color w:val="000000"/>
          <w:spacing w:val="20"/>
          <w:sz w:val="20"/>
        </w:rPr>
        <w:t>SITORIA</w:t>
      </w:r>
    </w:p>
    <w:p w14:paraId="101CD1D0" w14:textId="77777777" w:rsidR="00200D4C" w:rsidRDefault="00200D4C" w:rsidP="00200D4C">
      <w:pPr>
        <w:jc w:val="both"/>
        <w:rPr>
          <w:rFonts w:ascii="Soberana Sans" w:hAnsi="Soberana Sans" w:cs="Arial"/>
          <w:b/>
          <w:bCs/>
          <w:color w:val="000000"/>
          <w:sz w:val="20"/>
          <w:szCs w:val="20"/>
        </w:rPr>
      </w:pPr>
    </w:p>
    <w:p w14:paraId="3CA9D6FA" w14:textId="77777777" w:rsidR="00200D4C" w:rsidRPr="00F821C7" w:rsidRDefault="00200D4C" w:rsidP="00200D4C">
      <w:pPr>
        <w:jc w:val="both"/>
        <w:rPr>
          <w:rFonts w:ascii="Soberana Sans" w:hAnsi="Soberana Sans" w:cs="Arial"/>
          <w:color w:val="000000"/>
          <w:sz w:val="20"/>
          <w:szCs w:val="20"/>
        </w:rPr>
      </w:pPr>
      <w:r>
        <w:rPr>
          <w:rFonts w:ascii="Soberana Sans" w:hAnsi="Soberana Sans" w:cs="Arial"/>
          <w:b/>
          <w:bCs/>
          <w:color w:val="000000"/>
          <w:sz w:val="20"/>
          <w:szCs w:val="20"/>
        </w:rPr>
        <w:t>ÚNICA</w:t>
      </w:r>
      <w:r w:rsidRPr="00F821C7">
        <w:rPr>
          <w:rFonts w:ascii="Soberana Sans" w:hAnsi="Soberana Sans" w:cs="Arial"/>
          <w:b/>
          <w:bCs/>
          <w:color w:val="000000"/>
          <w:sz w:val="20"/>
          <w:szCs w:val="20"/>
        </w:rPr>
        <w:t xml:space="preserve">.- </w:t>
      </w:r>
      <w:r w:rsidRPr="00F821C7">
        <w:rPr>
          <w:rFonts w:ascii="Soberana Sans" w:hAnsi="Soberana Sans" w:cs="Arial"/>
          <w:color w:val="000000"/>
          <w:sz w:val="20"/>
          <w:szCs w:val="20"/>
        </w:rPr>
        <w:t xml:space="preserve">La presente Circular Modificatoria entrará en vigor al día siguiente de su publicación en el Diario Oficial de la Federación. </w:t>
      </w:r>
    </w:p>
    <w:p w14:paraId="5AA91A6C" w14:textId="77777777" w:rsidR="00200D4C" w:rsidRPr="00F821C7" w:rsidRDefault="00200D4C" w:rsidP="00200D4C">
      <w:pPr>
        <w:pStyle w:val="Texto"/>
        <w:spacing w:after="0" w:line="240" w:lineRule="auto"/>
        <w:ind w:firstLine="0"/>
        <w:rPr>
          <w:rFonts w:ascii="Soberana Sans" w:hAnsi="Soberana Sans"/>
          <w:color w:val="000000"/>
          <w:sz w:val="20"/>
        </w:rPr>
      </w:pPr>
      <w:r w:rsidRPr="00F821C7">
        <w:rPr>
          <w:rFonts w:ascii="Soberana Sans" w:hAnsi="Soberana Sans"/>
          <w:color w:val="000000"/>
          <w:sz w:val="20"/>
        </w:rPr>
        <w:t xml:space="preserve">Lo anterior se hace de su conocimiento, con fundamento en los artículos 366, fracción II, 372, fracciones VI y XLII, 373 y 381 de la Ley de Instituciones de Seguros y de Fianzas. </w:t>
      </w:r>
    </w:p>
    <w:p w14:paraId="246786C4" w14:textId="77777777" w:rsidR="00200D4C" w:rsidRDefault="00200D4C" w:rsidP="00200D4C">
      <w:pPr>
        <w:pStyle w:val="Texto"/>
        <w:spacing w:after="0" w:line="240" w:lineRule="auto"/>
        <w:ind w:firstLine="0"/>
        <w:rPr>
          <w:rFonts w:ascii="Soberana Sans" w:hAnsi="Soberana Sans"/>
          <w:color w:val="000000"/>
          <w:sz w:val="20"/>
          <w:lang w:val="es-MX" w:eastAsia="es-MX"/>
        </w:rPr>
      </w:pPr>
    </w:p>
    <w:p w14:paraId="32A9C567" w14:textId="77777777" w:rsidR="00200D4C" w:rsidRPr="00F821C7" w:rsidRDefault="00200D4C" w:rsidP="00200D4C">
      <w:pPr>
        <w:pStyle w:val="Texto"/>
        <w:spacing w:after="0" w:line="240" w:lineRule="auto"/>
        <w:ind w:firstLine="0"/>
        <w:rPr>
          <w:rFonts w:ascii="Soberana Sans" w:hAnsi="Soberana Sans"/>
          <w:color w:val="000000"/>
          <w:sz w:val="20"/>
          <w:lang w:val="es-MX" w:eastAsia="es-MX"/>
        </w:rPr>
      </w:pPr>
    </w:p>
    <w:p w14:paraId="3606BCBC" w14:textId="77777777" w:rsidR="00200D4C" w:rsidRPr="00F821C7" w:rsidRDefault="00200D4C" w:rsidP="00200D4C">
      <w:pPr>
        <w:snapToGrid w:val="0"/>
        <w:spacing w:after="0" w:line="240" w:lineRule="auto"/>
        <w:jc w:val="center"/>
        <w:outlineLvl w:val="0"/>
        <w:rPr>
          <w:rFonts w:ascii="Soberana Sans" w:hAnsi="Soberana Sans" w:cs="Arial"/>
          <w:b/>
          <w:bCs/>
          <w:spacing w:val="20"/>
          <w:sz w:val="20"/>
          <w:szCs w:val="20"/>
        </w:rPr>
      </w:pPr>
      <w:r w:rsidRPr="00F821C7">
        <w:rPr>
          <w:rFonts w:ascii="Soberana Sans" w:hAnsi="Soberana Sans" w:cs="Arial"/>
          <w:b/>
          <w:bCs/>
          <w:spacing w:val="20"/>
          <w:sz w:val="20"/>
          <w:szCs w:val="20"/>
        </w:rPr>
        <w:t>Atentamente</w:t>
      </w:r>
    </w:p>
    <w:p w14:paraId="3B835A9A" w14:textId="77777777" w:rsidR="00200D4C" w:rsidRPr="00F821C7" w:rsidRDefault="00200D4C" w:rsidP="00200D4C">
      <w:pPr>
        <w:snapToGrid w:val="0"/>
        <w:spacing w:after="0" w:line="240" w:lineRule="auto"/>
        <w:jc w:val="center"/>
        <w:rPr>
          <w:rFonts w:ascii="Soberana Sans" w:hAnsi="Soberana Sans" w:cs="Arial"/>
          <w:b/>
          <w:bCs/>
          <w:sz w:val="20"/>
          <w:szCs w:val="20"/>
        </w:rPr>
      </w:pPr>
      <w:r w:rsidRPr="00F821C7">
        <w:rPr>
          <w:rFonts w:ascii="Soberana Sans" w:hAnsi="Soberana Sans" w:cs="Arial"/>
          <w:b/>
          <w:bCs/>
          <w:sz w:val="20"/>
          <w:szCs w:val="20"/>
        </w:rPr>
        <w:t>SUFRAGIO EFECTIVO. NO REELECCIÓN.</w:t>
      </w:r>
    </w:p>
    <w:p w14:paraId="3937ABC6" w14:textId="77777777" w:rsidR="00200D4C" w:rsidRPr="00F821C7" w:rsidRDefault="00200D4C" w:rsidP="00200D4C">
      <w:pPr>
        <w:snapToGrid w:val="0"/>
        <w:spacing w:after="0" w:line="240" w:lineRule="auto"/>
        <w:jc w:val="center"/>
        <w:rPr>
          <w:rFonts w:ascii="Soberana Sans" w:hAnsi="Soberana Sans" w:cs="Arial"/>
          <w:b/>
          <w:bCs/>
          <w:sz w:val="20"/>
          <w:szCs w:val="20"/>
        </w:rPr>
      </w:pPr>
      <w:r w:rsidRPr="00F821C7">
        <w:rPr>
          <w:rFonts w:ascii="Soberana Sans" w:hAnsi="Soberana Sans" w:cs="Arial"/>
          <w:b/>
          <w:bCs/>
          <w:sz w:val="20"/>
          <w:szCs w:val="20"/>
        </w:rPr>
        <w:t>COMISIÓN NACIONAL DE SEGUROS Y FIANZAS</w:t>
      </w:r>
    </w:p>
    <w:p w14:paraId="27C59F00" w14:textId="77777777" w:rsidR="00200D4C" w:rsidRPr="00F821C7" w:rsidRDefault="00200D4C" w:rsidP="00200D4C">
      <w:pPr>
        <w:snapToGrid w:val="0"/>
        <w:spacing w:after="0" w:line="240" w:lineRule="auto"/>
        <w:jc w:val="center"/>
        <w:rPr>
          <w:rFonts w:ascii="Soberana Sans" w:hAnsi="Soberana Sans" w:cs="Arial"/>
          <w:b/>
          <w:bCs/>
          <w:sz w:val="20"/>
          <w:szCs w:val="20"/>
        </w:rPr>
      </w:pPr>
      <w:r w:rsidRPr="00F821C7">
        <w:rPr>
          <w:rFonts w:ascii="Soberana Sans" w:hAnsi="Soberana Sans" w:cs="Arial"/>
          <w:b/>
          <w:bCs/>
          <w:sz w:val="20"/>
          <w:szCs w:val="20"/>
        </w:rPr>
        <w:t>La Presidenta</w:t>
      </w:r>
    </w:p>
    <w:p w14:paraId="63719532" w14:textId="77777777" w:rsidR="00200D4C" w:rsidRPr="00F821C7" w:rsidRDefault="00200D4C" w:rsidP="00200D4C">
      <w:pPr>
        <w:snapToGrid w:val="0"/>
        <w:spacing w:after="0" w:line="240" w:lineRule="auto"/>
        <w:jc w:val="center"/>
        <w:rPr>
          <w:rFonts w:ascii="Soberana Sans" w:hAnsi="Soberana Sans" w:cs="Arial"/>
          <w:b/>
          <w:bCs/>
          <w:sz w:val="20"/>
          <w:szCs w:val="20"/>
        </w:rPr>
      </w:pPr>
    </w:p>
    <w:p w14:paraId="177582F9" w14:textId="77777777" w:rsidR="00200D4C" w:rsidRDefault="00200D4C" w:rsidP="00200D4C">
      <w:pPr>
        <w:snapToGrid w:val="0"/>
        <w:spacing w:after="0" w:line="240" w:lineRule="auto"/>
        <w:jc w:val="center"/>
        <w:rPr>
          <w:rFonts w:ascii="Soberana Sans" w:hAnsi="Soberana Sans" w:cs="Arial"/>
          <w:b/>
          <w:bCs/>
          <w:sz w:val="20"/>
          <w:szCs w:val="20"/>
        </w:rPr>
      </w:pPr>
    </w:p>
    <w:p w14:paraId="122E3BD7" w14:textId="77777777" w:rsidR="00200D4C" w:rsidRPr="00F821C7" w:rsidRDefault="00200D4C" w:rsidP="00200D4C">
      <w:pPr>
        <w:snapToGrid w:val="0"/>
        <w:spacing w:after="0" w:line="240" w:lineRule="auto"/>
        <w:jc w:val="center"/>
        <w:rPr>
          <w:rFonts w:ascii="Soberana Sans" w:hAnsi="Soberana Sans" w:cs="Arial"/>
          <w:b/>
          <w:bCs/>
          <w:sz w:val="20"/>
          <w:szCs w:val="20"/>
        </w:rPr>
      </w:pPr>
    </w:p>
    <w:p w14:paraId="12BA4F1F" w14:textId="77777777" w:rsidR="00200D4C" w:rsidRPr="00F821C7" w:rsidRDefault="00200D4C" w:rsidP="00200D4C">
      <w:pPr>
        <w:snapToGrid w:val="0"/>
        <w:spacing w:after="0" w:line="240" w:lineRule="auto"/>
        <w:jc w:val="center"/>
        <w:rPr>
          <w:rFonts w:ascii="Soberana Sans" w:hAnsi="Soberana Sans" w:cs="Arial"/>
          <w:b/>
          <w:bCs/>
          <w:sz w:val="20"/>
          <w:szCs w:val="20"/>
        </w:rPr>
      </w:pPr>
    </w:p>
    <w:p w14:paraId="107A0B97" w14:textId="77777777" w:rsidR="00200D4C" w:rsidRPr="00F821C7" w:rsidRDefault="00200D4C" w:rsidP="00200D4C">
      <w:pPr>
        <w:spacing w:after="0" w:line="240" w:lineRule="auto"/>
        <w:jc w:val="center"/>
        <w:rPr>
          <w:rFonts w:ascii="Soberana Sans" w:hAnsi="Soberana Sans" w:cs="Arial"/>
          <w:b/>
          <w:bCs/>
          <w:sz w:val="20"/>
          <w:szCs w:val="20"/>
        </w:rPr>
      </w:pPr>
      <w:r w:rsidRPr="00F821C7">
        <w:rPr>
          <w:rFonts w:ascii="Soberana Sans" w:hAnsi="Soberana Sans" w:cs="Arial"/>
          <w:b/>
          <w:bCs/>
          <w:sz w:val="20"/>
          <w:szCs w:val="20"/>
        </w:rPr>
        <w:t>MTRA. NORMA ALICIA ROSAS RODRÍGUEZ</w:t>
      </w:r>
    </w:p>
    <w:p w14:paraId="351B6397" w14:textId="77777777" w:rsidR="00200D4C" w:rsidRDefault="00200D4C" w:rsidP="00200D4C">
      <w:pPr>
        <w:jc w:val="both"/>
        <w:rPr>
          <w:rFonts w:ascii="Georgia" w:hAnsi="Georgia" w:cs="Arial"/>
          <w:b/>
          <w:sz w:val="20"/>
          <w:szCs w:val="20"/>
        </w:rPr>
      </w:pPr>
    </w:p>
    <w:p w14:paraId="76C8797C" w14:textId="77777777" w:rsidR="00200D4C" w:rsidRDefault="00200D4C" w:rsidP="00200D4C">
      <w:pPr>
        <w:pStyle w:val="ANOTACION"/>
        <w:rPr>
          <w:rFonts w:ascii="Arial" w:hAnsi="Arial" w:cs="Arial"/>
        </w:rPr>
      </w:pPr>
    </w:p>
    <w:p w14:paraId="03E97DE4" w14:textId="77777777" w:rsidR="00200D4C" w:rsidRPr="004E6DB9" w:rsidRDefault="00200D4C" w:rsidP="00200D4C">
      <w:pPr>
        <w:pStyle w:val="ANOTACION"/>
        <w:spacing w:line="280" w:lineRule="exact"/>
        <w:jc w:val="left"/>
        <w:rPr>
          <w:rFonts w:ascii="Georgia" w:hAnsi="Georgia"/>
          <w:sz w:val="20"/>
          <w:lang w:eastAsia="es-MX"/>
        </w:rPr>
      </w:pPr>
      <w:r w:rsidRPr="004E6DB9">
        <w:rPr>
          <w:rFonts w:ascii="Georgia" w:hAnsi="Georgia"/>
          <w:sz w:val="20"/>
          <w:lang w:eastAsia="es-MX"/>
        </w:rPr>
        <w:t xml:space="preserve"> </w:t>
      </w:r>
    </w:p>
    <w:p w14:paraId="2F8F4069" w14:textId="77777777" w:rsidR="00200D4C" w:rsidRPr="003D2702" w:rsidRDefault="00200D4C" w:rsidP="00200D4C">
      <w:pPr>
        <w:spacing w:after="101" w:line="325" w:lineRule="exact"/>
        <w:ind w:left="851"/>
        <w:jc w:val="both"/>
        <w:rPr>
          <w:rFonts w:ascii="ArAal" w:hAnsi="ArAal"/>
          <w:sz w:val="18"/>
          <w:szCs w:val="18"/>
        </w:rPr>
      </w:pPr>
    </w:p>
    <w:p w14:paraId="25A6D8E8" w14:textId="77777777" w:rsidR="00F678DA" w:rsidRDefault="00F678DA" w:rsidP="00200D4C">
      <w:pPr>
        <w:tabs>
          <w:tab w:val="left" w:pos="0"/>
        </w:tabs>
        <w:autoSpaceDE w:val="0"/>
        <w:autoSpaceDN w:val="0"/>
        <w:adjustRightInd w:val="0"/>
        <w:snapToGrid w:val="0"/>
        <w:spacing w:after="0" w:line="240" w:lineRule="auto"/>
        <w:ind w:right="378"/>
        <w:jc w:val="center"/>
        <w:outlineLvl w:val="0"/>
        <w:rPr>
          <w:rFonts w:ascii="Soberana Sans" w:hAnsi="Soberana Sans"/>
          <w:b/>
          <w:bCs/>
          <w:spacing w:val="20"/>
          <w:sz w:val="20"/>
          <w:szCs w:val="20"/>
          <w:lang w:val="es-ES" w:eastAsia="es-ES"/>
        </w:rPr>
      </w:pPr>
    </w:p>
    <w:p w14:paraId="0CDC112E" w14:textId="77777777" w:rsidR="00F678DA" w:rsidRPr="00EC45D9" w:rsidRDefault="00F678DA" w:rsidP="00C05E4E">
      <w:pPr>
        <w:spacing w:after="0" w:line="240" w:lineRule="auto"/>
        <w:jc w:val="both"/>
        <w:rPr>
          <w:rFonts w:ascii="Soberana Sans" w:hAnsi="Soberana Sans"/>
          <w:b/>
          <w:bCs/>
          <w:spacing w:val="20"/>
          <w:sz w:val="20"/>
          <w:szCs w:val="20"/>
          <w:lang w:val="es-ES" w:eastAsia="es-ES"/>
        </w:rPr>
      </w:pPr>
    </w:p>
    <w:sectPr w:rsidR="00F678DA" w:rsidRPr="00EC45D9" w:rsidSect="00B0723A">
      <w:headerReference w:type="default" r:id="rId7"/>
      <w:footerReference w:type="default" r:id="rId8"/>
      <w:headerReference w:type="first" r:id="rId9"/>
      <w:pgSz w:w="12240" w:h="15840" w:code="1"/>
      <w:pgMar w:top="2694" w:right="1701" w:bottom="1320"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143FD1" w14:textId="77777777" w:rsidR="004634E7" w:rsidRDefault="004634E7" w:rsidP="00BE1F2B">
      <w:pPr>
        <w:spacing w:after="0" w:line="240" w:lineRule="auto"/>
      </w:pPr>
      <w:r>
        <w:separator/>
      </w:r>
    </w:p>
  </w:endnote>
  <w:endnote w:type="continuationSeparator" w:id="0">
    <w:p w14:paraId="011DB3A0" w14:textId="77777777" w:rsidR="004634E7" w:rsidRDefault="004634E7" w:rsidP="00BE1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oberana Sans">
    <w:panose1 w:val="00000000000000000000"/>
    <w:charset w:val="00"/>
    <w:family w:val="modern"/>
    <w:notTrueType/>
    <w:pitch w:val="variable"/>
    <w:sig w:usb0="800000AF" w:usb1="4000204B" w:usb2="00000000" w:usb3="00000000" w:csb0="00000001" w:csb1="00000000"/>
  </w:font>
  <w:font w:name="ArAal">
    <w:altName w:val="Calibri"/>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9CF9C" w14:textId="77777777" w:rsidR="00A820B8" w:rsidRDefault="004634E7" w:rsidP="009A67FE">
    <w:pPr>
      <w:pStyle w:val="Piedepgina"/>
    </w:pPr>
  </w:p>
  <w:p w14:paraId="0F1E6100" w14:textId="77777777" w:rsidR="00A820B8" w:rsidRDefault="004634E7" w:rsidP="009903AF">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0F980D" w14:textId="77777777" w:rsidR="004634E7" w:rsidRDefault="004634E7" w:rsidP="00BE1F2B">
      <w:pPr>
        <w:spacing w:after="0" w:line="240" w:lineRule="auto"/>
      </w:pPr>
      <w:r>
        <w:separator/>
      </w:r>
    </w:p>
  </w:footnote>
  <w:footnote w:type="continuationSeparator" w:id="0">
    <w:p w14:paraId="12E1A73C" w14:textId="77777777" w:rsidR="004634E7" w:rsidRDefault="004634E7" w:rsidP="00BE1F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3BC79" w14:textId="77777777" w:rsidR="00A820B8" w:rsidRPr="00F231A7" w:rsidRDefault="004634E7">
    <w:pPr>
      <w:pStyle w:val="Encabezado"/>
      <w:rPr>
        <w:rFonts w:ascii="Book Antiqua" w:hAnsi="Book Antiqua" w:cs="Book Antiqua"/>
        <w:sz w:val="14"/>
        <w:szCs w:val="14"/>
      </w:rPr>
    </w:pPr>
  </w:p>
  <w:p w14:paraId="4BB259DA" w14:textId="77777777" w:rsidR="00A820B8" w:rsidRPr="00946814" w:rsidRDefault="00D27FAE">
    <w:pPr>
      <w:pStyle w:val="Encabezado"/>
      <w:rPr>
        <w:rFonts w:ascii="Soberana Sans" w:hAnsi="Soberana Sans" w:cs="Palatino"/>
        <w:b/>
        <w:bCs/>
      </w:rPr>
    </w:pPr>
    <w:r w:rsidRPr="00946814">
      <w:rPr>
        <w:rFonts w:ascii="Soberana Sans" w:hAnsi="Soberana Sans" w:cs="Palatino"/>
        <w:b/>
        <w:bCs/>
      </w:rPr>
      <w:t>COMISIÓN NACIONAL DE SEGUROS Y FIANZAS</w:t>
    </w:r>
  </w:p>
  <w:p w14:paraId="142DEF9E" w14:textId="77777777" w:rsidR="00A820B8" w:rsidRPr="00946814" w:rsidRDefault="004634E7" w:rsidP="005F2DEC">
    <w:pPr>
      <w:pStyle w:val="Encabezado"/>
      <w:rPr>
        <w:rFonts w:ascii="Soberana Sans" w:hAnsi="Soberana Sans" w:cs="Book Antiqua"/>
        <w:sz w:val="20"/>
        <w:szCs w:val="20"/>
      </w:rPr>
    </w:pPr>
  </w:p>
  <w:p w14:paraId="414E37B2" w14:textId="77777777" w:rsidR="00A820B8" w:rsidRPr="00F231A7" w:rsidRDefault="004634E7" w:rsidP="005F2DEC">
    <w:pPr>
      <w:pStyle w:val="Encabezado"/>
      <w:rPr>
        <w:rFonts w:ascii="Book Antiqua" w:hAnsi="Book Antiqua" w:cs="Book Antiqua"/>
        <w:sz w:val="6"/>
        <w:szCs w:val="6"/>
      </w:rPr>
    </w:pPr>
  </w:p>
  <w:p w14:paraId="70BB8373" w14:textId="477356E6" w:rsidR="00A820B8" w:rsidRPr="00946814" w:rsidRDefault="008726B2" w:rsidP="008726B2">
    <w:pPr>
      <w:pStyle w:val="Encabezado"/>
      <w:spacing w:line="240" w:lineRule="atLeast"/>
      <w:rPr>
        <w:rFonts w:ascii="Soberana Sans" w:hAnsi="Soberana Sans" w:cs="Georgia"/>
        <w:color w:val="292929"/>
        <w:sz w:val="16"/>
        <w:szCs w:val="16"/>
      </w:rPr>
    </w:pPr>
    <w:r>
      <w:rPr>
        <w:rFonts w:ascii="Georgia" w:hAnsi="Georgia" w:cs="Georgia"/>
        <w:color w:val="292929"/>
        <w:sz w:val="18"/>
        <w:szCs w:val="18"/>
      </w:rPr>
      <w:tab/>
    </w:r>
    <w:r w:rsidRPr="00946814">
      <w:rPr>
        <w:rFonts w:ascii="Soberana Sans" w:hAnsi="Soberana Sans" w:cs="Georgia"/>
        <w:color w:val="292929"/>
        <w:sz w:val="16"/>
        <w:szCs w:val="16"/>
      </w:rPr>
      <w:t xml:space="preserve">                                             </w:t>
    </w:r>
    <w:r w:rsidR="00200D4C">
      <w:rPr>
        <w:rFonts w:ascii="Soberana Sans" w:hAnsi="Soberana Sans" w:cs="Georgia"/>
        <w:color w:val="292929"/>
        <w:sz w:val="16"/>
        <w:szCs w:val="16"/>
      </w:rPr>
      <w:t xml:space="preserve">                               </w:t>
    </w:r>
    <w:r w:rsidRPr="00946814">
      <w:rPr>
        <w:rFonts w:ascii="Soberana Sans" w:hAnsi="Soberana Sans" w:cs="Georgia"/>
        <w:color w:val="292929"/>
        <w:sz w:val="16"/>
        <w:szCs w:val="16"/>
      </w:rPr>
      <w:t xml:space="preserve"> CIRCULAR MODIFICATORIA </w:t>
    </w:r>
    <w:r w:rsidR="003F44DF">
      <w:rPr>
        <w:rFonts w:ascii="Soberana Sans" w:hAnsi="Soberana Sans" w:cs="Georgia"/>
        <w:color w:val="292929"/>
        <w:sz w:val="16"/>
        <w:szCs w:val="16"/>
      </w:rPr>
      <w:t>8</w:t>
    </w:r>
    <w:r w:rsidR="00B0723A">
      <w:rPr>
        <w:rFonts w:ascii="Soberana Sans" w:hAnsi="Soberana Sans" w:cs="Georgia"/>
        <w:color w:val="292929"/>
        <w:sz w:val="16"/>
        <w:szCs w:val="16"/>
      </w:rPr>
      <w:t>/</w:t>
    </w:r>
    <w:r w:rsidRPr="00946814">
      <w:rPr>
        <w:rFonts w:ascii="Soberana Sans" w:hAnsi="Soberana Sans" w:cs="Georgia"/>
        <w:color w:val="292929"/>
        <w:sz w:val="16"/>
        <w:szCs w:val="16"/>
      </w:rPr>
      <w:t>1</w:t>
    </w:r>
    <w:r w:rsidR="007D69DC" w:rsidRPr="00946814">
      <w:rPr>
        <w:rFonts w:ascii="Soberana Sans" w:hAnsi="Soberana Sans" w:cs="Georgia"/>
        <w:color w:val="292929"/>
        <w:sz w:val="16"/>
        <w:szCs w:val="16"/>
      </w:rPr>
      <w:t>8</w:t>
    </w:r>
    <w:r w:rsidR="00D27FAE" w:rsidRPr="00946814">
      <w:rPr>
        <w:rFonts w:ascii="Soberana Sans" w:hAnsi="Soberana Sans" w:cs="Georgia"/>
        <w:color w:val="292929"/>
        <w:sz w:val="16"/>
        <w:szCs w:val="16"/>
      </w:rPr>
      <w:t xml:space="preserve">  DE LA ÚNICA DE SEGUROS</w:t>
    </w:r>
    <w:r w:rsidRPr="00946814">
      <w:rPr>
        <w:rFonts w:ascii="Soberana Sans" w:hAnsi="Soberana Sans" w:cs="Georgia"/>
        <w:color w:val="292929"/>
        <w:sz w:val="16"/>
        <w:szCs w:val="16"/>
      </w:rPr>
      <w:t xml:space="preserve"> Y FIANZAS</w:t>
    </w:r>
  </w:p>
  <w:p w14:paraId="64AEC02C" w14:textId="77777777" w:rsidR="00A820B8" w:rsidRPr="00946814" w:rsidRDefault="004634E7" w:rsidP="00D2383F">
    <w:pPr>
      <w:pStyle w:val="Encabezado"/>
      <w:ind w:left="4560"/>
      <w:rPr>
        <w:rFonts w:ascii="Soberana Sans" w:hAnsi="Soberana Sans" w:cs="Georgia"/>
        <w:color w:val="292929"/>
        <w:sz w:val="6"/>
        <w:szCs w:val="6"/>
      </w:rPr>
    </w:pPr>
  </w:p>
  <w:p w14:paraId="1F0F3952" w14:textId="77777777" w:rsidR="00B6405A" w:rsidRDefault="00D27FAE" w:rsidP="00B0723A">
    <w:pPr>
      <w:pStyle w:val="Encabezado"/>
      <w:ind w:left="4560"/>
      <w:jc w:val="right"/>
    </w:pPr>
    <w:r w:rsidRPr="00946814">
      <w:rPr>
        <w:rFonts w:ascii="Soberana Sans" w:hAnsi="Soberana Sans" w:cs="Georgia"/>
        <w:color w:val="292929"/>
        <w:sz w:val="18"/>
        <w:szCs w:val="18"/>
      </w:rPr>
      <w:t xml:space="preserve"> </w:t>
    </w:r>
    <w:r w:rsidRPr="00946814">
      <w:rPr>
        <w:rStyle w:val="Nmerodepgina"/>
        <w:rFonts w:ascii="Soberana Sans" w:hAnsi="Soberana Sans" w:cs="Georgia"/>
        <w:color w:val="292929"/>
        <w:sz w:val="18"/>
        <w:szCs w:val="18"/>
      </w:rPr>
      <w:fldChar w:fldCharType="begin"/>
    </w:r>
    <w:r w:rsidRPr="00946814">
      <w:rPr>
        <w:rStyle w:val="Nmerodepgina"/>
        <w:rFonts w:ascii="Soberana Sans" w:hAnsi="Soberana Sans" w:cs="Georgia"/>
        <w:color w:val="292929"/>
        <w:sz w:val="18"/>
        <w:szCs w:val="18"/>
      </w:rPr>
      <w:instrText xml:space="preserve"> PAGE </w:instrText>
    </w:r>
    <w:r w:rsidRPr="00946814">
      <w:rPr>
        <w:rStyle w:val="Nmerodepgina"/>
        <w:rFonts w:ascii="Soberana Sans" w:hAnsi="Soberana Sans" w:cs="Georgia"/>
        <w:color w:val="292929"/>
        <w:sz w:val="18"/>
        <w:szCs w:val="18"/>
      </w:rPr>
      <w:fldChar w:fldCharType="separate"/>
    </w:r>
    <w:r w:rsidR="002000A8">
      <w:rPr>
        <w:rStyle w:val="Nmerodepgina"/>
        <w:rFonts w:ascii="Soberana Sans" w:hAnsi="Soberana Sans" w:cs="Georgia"/>
        <w:noProof/>
        <w:color w:val="292929"/>
        <w:sz w:val="18"/>
        <w:szCs w:val="18"/>
      </w:rPr>
      <w:t>3</w:t>
    </w:r>
    <w:r w:rsidRPr="00946814">
      <w:rPr>
        <w:rStyle w:val="Nmerodepgina"/>
        <w:rFonts w:ascii="Soberana Sans" w:hAnsi="Soberana Sans" w:cs="Georgia"/>
        <w:color w:val="292929"/>
        <w:sz w:val="18"/>
        <w:szCs w:val="18"/>
      </w:rPr>
      <w:fldChar w:fldCharType="end"/>
    </w:r>
    <w:r w:rsidRPr="00946814">
      <w:rPr>
        <w:rStyle w:val="Nmerodepgina"/>
        <w:rFonts w:ascii="Soberana Sans" w:hAnsi="Soberana Sans" w:cs="Georgia"/>
        <w:color w:val="292929"/>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02BFC" w14:textId="77777777" w:rsidR="00A820B8" w:rsidRDefault="004634E7" w:rsidP="00D2383F">
    <w:pPr>
      <w:pStyle w:val="Encabezado"/>
      <w:ind w:left="2040" w:right="-162"/>
      <w:jc w:val="center"/>
    </w:pPr>
  </w:p>
  <w:p w14:paraId="2784654C" w14:textId="77777777" w:rsidR="00A820B8" w:rsidRDefault="004634E7" w:rsidP="005F2DEC">
    <w:pPr>
      <w:pStyle w:val="Encabezado"/>
      <w:ind w:left="1320"/>
      <w:jc w:val="center"/>
      <w:rPr>
        <w:rFonts w:ascii="Palatino" w:hAnsi="Palatino" w:cs="Palatino"/>
      </w:rPr>
    </w:pPr>
  </w:p>
  <w:p w14:paraId="1D2EED1A" w14:textId="77777777" w:rsidR="00A820B8" w:rsidRDefault="00BE1F2B" w:rsidP="005F2DEC">
    <w:pPr>
      <w:pStyle w:val="Encabezado"/>
      <w:ind w:left="840"/>
      <w:jc w:val="center"/>
      <w:rPr>
        <w:rFonts w:ascii="Palatino" w:hAnsi="Palatino" w:cs="Palatino"/>
      </w:rPr>
    </w:pPr>
    <w:r>
      <w:rPr>
        <w:noProof/>
        <w:lang w:eastAsia="es-MX"/>
      </w:rPr>
      <w:drawing>
        <wp:anchor distT="0" distB="0" distL="114300" distR="114300" simplePos="0" relativeHeight="251659264" behindDoc="0" locked="0" layoutInCell="1" allowOverlap="1" wp14:anchorId="7E329A62" wp14:editId="7659AA45">
          <wp:simplePos x="0" y="0"/>
          <wp:positionH relativeFrom="column">
            <wp:posOffset>-34925</wp:posOffset>
          </wp:positionH>
          <wp:positionV relativeFrom="paragraph">
            <wp:posOffset>-3175</wp:posOffset>
          </wp:positionV>
          <wp:extent cx="1030605" cy="1002030"/>
          <wp:effectExtent l="0" t="0" r="0" b="762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0605" cy="1002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4AC5C7" w14:textId="77777777" w:rsidR="00A820B8" w:rsidRPr="000D281B" w:rsidRDefault="00D27FAE" w:rsidP="009B6DFB">
    <w:pPr>
      <w:pStyle w:val="Encabezado"/>
      <w:ind w:left="1701" w:right="-282"/>
      <w:jc w:val="center"/>
      <w:rPr>
        <w:rFonts w:ascii="Soberana Sans" w:hAnsi="Soberana Sans" w:cs="Palatino"/>
      </w:rPr>
    </w:pPr>
    <w:r w:rsidRPr="000D281B">
      <w:rPr>
        <w:rFonts w:ascii="Soberana Sans" w:hAnsi="Soberana Sans" w:cs="Palatino"/>
      </w:rPr>
      <w:t>SECRETARÍA DE HACIENDA Y CRÉDITO PÚBLICO</w:t>
    </w:r>
  </w:p>
  <w:p w14:paraId="4B923A22" w14:textId="77777777" w:rsidR="00A820B8" w:rsidRPr="000D281B" w:rsidRDefault="00D27FAE" w:rsidP="009B6DFB">
    <w:pPr>
      <w:tabs>
        <w:tab w:val="left" w:pos="5976"/>
      </w:tabs>
      <w:ind w:left="1701" w:right="-282"/>
      <w:rPr>
        <w:rFonts w:ascii="Soberana Sans" w:hAnsi="Soberana Sans" w:cs="Palatino"/>
        <w:sz w:val="18"/>
        <w:szCs w:val="18"/>
      </w:rPr>
    </w:pPr>
    <w:r w:rsidRPr="000D281B">
      <w:rPr>
        <w:rFonts w:ascii="Soberana Sans" w:hAnsi="Soberana Sans" w:cs="Palatino"/>
      </w:rPr>
      <w:tab/>
    </w:r>
  </w:p>
  <w:p w14:paraId="43CD1832" w14:textId="77777777" w:rsidR="00A820B8" w:rsidRPr="000D281B" w:rsidRDefault="00D27FAE" w:rsidP="009B6DFB">
    <w:pPr>
      <w:pStyle w:val="Encabezado"/>
      <w:ind w:left="1701" w:right="-282"/>
      <w:jc w:val="center"/>
      <w:rPr>
        <w:rFonts w:ascii="Soberana Sans" w:hAnsi="Soberana Sans" w:cs="Palatino"/>
        <w:b/>
        <w:bCs/>
        <w:sz w:val="28"/>
        <w:szCs w:val="28"/>
      </w:rPr>
    </w:pPr>
    <w:r w:rsidRPr="000D281B">
      <w:rPr>
        <w:rFonts w:ascii="Soberana Sans" w:hAnsi="Soberana Sans" w:cs="Palatino"/>
        <w:b/>
        <w:bCs/>
        <w:sz w:val="28"/>
        <w:szCs w:val="28"/>
      </w:rPr>
      <w:t>COMISIÓN NACIONAL DE SEGUROS Y FIANZAS</w:t>
    </w:r>
  </w:p>
  <w:p w14:paraId="2E261AF2" w14:textId="77777777" w:rsidR="00A820B8" w:rsidRPr="00BA0AEB" w:rsidRDefault="004634E7" w:rsidP="009B6DFB">
    <w:pPr>
      <w:pStyle w:val="Encabezado"/>
      <w:ind w:left="1701"/>
      <w:rPr>
        <w:sz w:val="4"/>
        <w:szCs w:val="4"/>
      </w:rPr>
    </w:pPr>
  </w:p>
  <w:p w14:paraId="06E47528" w14:textId="77777777" w:rsidR="00A820B8" w:rsidRPr="004B6410" w:rsidRDefault="004634E7" w:rsidP="00BA0AEB">
    <w:pPr>
      <w:pStyle w:val="Encabezado"/>
      <w:ind w:left="8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751FC"/>
    <w:multiLevelType w:val="hybridMultilevel"/>
    <w:tmpl w:val="A00ED6AE"/>
    <w:lvl w:ilvl="0" w:tplc="F25AF5DC">
      <w:start w:val="1"/>
      <w:numFmt w:val="lowerLetter"/>
      <w:lvlText w:val="%1)"/>
      <w:lvlJc w:val="left"/>
      <w:pPr>
        <w:ind w:left="2214" w:hanging="360"/>
      </w:pPr>
      <w:rPr>
        <w:rFonts w:hint="default"/>
      </w:rPr>
    </w:lvl>
    <w:lvl w:ilvl="1" w:tplc="080A0019" w:tentative="1">
      <w:start w:val="1"/>
      <w:numFmt w:val="lowerLetter"/>
      <w:lvlText w:val="%2."/>
      <w:lvlJc w:val="left"/>
      <w:pPr>
        <w:ind w:left="2934" w:hanging="360"/>
      </w:pPr>
    </w:lvl>
    <w:lvl w:ilvl="2" w:tplc="080A001B" w:tentative="1">
      <w:start w:val="1"/>
      <w:numFmt w:val="lowerRoman"/>
      <w:lvlText w:val="%3."/>
      <w:lvlJc w:val="right"/>
      <w:pPr>
        <w:ind w:left="3654" w:hanging="180"/>
      </w:pPr>
    </w:lvl>
    <w:lvl w:ilvl="3" w:tplc="080A000F" w:tentative="1">
      <w:start w:val="1"/>
      <w:numFmt w:val="decimal"/>
      <w:lvlText w:val="%4."/>
      <w:lvlJc w:val="left"/>
      <w:pPr>
        <w:ind w:left="4374" w:hanging="360"/>
      </w:pPr>
    </w:lvl>
    <w:lvl w:ilvl="4" w:tplc="080A0019" w:tentative="1">
      <w:start w:val="1"/>
      <w:numFmt w:val="lowerLetter"/>
      <w:lvlText w:val="%5."/>
      <w:lvlJc w:val="left"/>
      <w:pPr>
        <w:ind w:left="5094" w:hanging="360"/>
      </w:pPr>
    </w:lvl>
    <w:lvl w:ilvl="5" w:tplc="080A001B" w:tentative="1">
      <w:start w:val="1"/>
      <w:numFmt w:val="lowerRoman"/>
      <w:lvlText w:val="%6."/>
      <w:lvlJc w:val="right"/>
      <w:pPr>
        <w:ind w:left="5814" w:hanging="180"/>
      </w:pPr>
    </w:lvl>
    <w:lvl w:ilvl="6" w:tplc="080A000F" w:tentative="1">
      <w:start w:val="1"/>
      <w:numFmt w:val="decimal"/>
      <w:lvlText w:val="%7."/>
      <w:lvlJc w:val="left"/>
      <w:pPr>
        <w:ind w:left="6534" w:hanging="360"/>
      </w:pPr>
    </w:lvl>
    <w:lvl w:ilvl="7" w:tplc="080A0019" w:tentative="1">
      <w:start w:val="1"/>
      <w:numFmt w:val="lowerLetter"/>
      <w:lvlText w:val="%8."/>
      <w:lvlJc w:val="left"/>
      <w:pPr>
        <w:ind w:left="7254" w:hanging="360"/>
      </w:pPr>
    </w:lvl>
    <w:lvl w:ilvl="8" w:tplc="080A001B" w:tentative="1">
      <w:start w:val="1"/>
      <w:numFmt w:val="lowerRoman"/>
      <w:lvlText w:val="%9."/>
      <w:lvlJc w:val="right"/>
      <w:pPr>
        <w:ind w:left="7974" w:hanging="180"/>
      </w:pPr>
    </w:lvl>
  </w:abstractNum>
  <w:abstractNum w:abstractNumId="1" w15:restartNumberingAfterBreak="0">
    <w:nsid w:val="0E993D61"/>
    <w:multiLevelType w:val="hybridMultilevel"/>
    <w:tmpl w:val="9B62988E"/>
    <w:lvl w:ilvl="0" w:tplc="43628736">
      <w:start w:val="1"/>
      <w:numFmt w:val="lowerLetter"/>
      <w:lvlText w:val="%1)"/>
      <w:lvlJc w:val="left"/>
      <w:pPr>
        <w:ind w:left="4330" w:hanging="360"/>
      </w:pPr>
      <w:rPr>
        <w:rFonts w:ascii="Georgia" w:hAnsi="Georgia" w:hint="default"/>
        <w:sz w:val="20"/>
      </w:rPr>
    </w:lvl>
    <w:lvl w:ilvl="1" w:tplc="080A0019" w:tentative="1">
      <w:start w:val="1"/>
      <w:numFmt w:val="lowerLetter"/>
      <w:lvlText w:val="%2."/>
      <w:lvlJc w:val="left"/>
      <w:pPr>
        <w:ind w:left="5050" w:hanging="360"/>
      </w:pPr>
    </w:lvl>
    <w:lvl w:ilvl="2" w:tplc="080A001B" w:tentative="1">
      <w:start w:val="1"/>
      <w:numFmt w:val="lowerRoman"/>
      <w:lvlText w:val="%3."/>
      <w:lvlJc w:val="right"/>
      <w:pPr>
        <w:ind w:left="5770" w:hanging="180"/>
      </w:pPr>
    </w:lvl>
    <w:lvl w:ilvl="3" w:tplc="080A000F" w:tentative="1">
      <w:start w:val="1"/>
      <w:numFmt w:val="decimal"/>
      <w:lvlText w:val="%4."/>
      <w:lvlJc w:val="left"/>
      <w:pPr>
        <w:ind w:left="6490" w:hanging="360"/>
      </w:pPr>
    </w:lvl>
    <w:lvl w:ilvl="4" w:tplc="080A0019" w:tentative="1">
      <w:start w:val="1"/>
      <w:numFmt w:val="lowerLetter"/>
      <w:lvlText w:val="%5."/>
      <w:lvlJc w:val="left"/>
      <w:pPr>
        <w:ind w:left="7210" w:hanging="360"/>
      </w:pPr>
    </w:lvl>
    <w:lvl w:ilvl="5" w:tplc="080A001B" w:tentative="1">
      <w:start w:val="1"/>
      <w:numFmt w:val="lowerRoman"/>
      <w:lvlText w:val="%6."/>
      <w:lvlJc w:val="right"/>
      <w:pPr>
        <w:ind w:left="7930" w:hanging="180"/>
      </w:pPr>
    </w:lvl>
    <w:lvl w:ilvl="6" w:tplc="080A000F" w:tentative="1">
      <w:start w:val="1"/>
      <w:numFmt w:val="decimal"/>
      <w:lvlText w:val="%7."/>
      <w:lvlJc w:val="left"/>
      <w:pPr>
        <w:ind w:left="8650" w:hanging="360"/>
      </w:pPr>
    </w:lvl>
    <w:lvl w:ilvl="7" w:tplc="080A0019" w:tentative="1">
      <w:start w:val="1"/>
      <w:numFmt w:val="lowerLetter"/>
      <w:lvlText w:val="%8."/>
      <w:lvlJc w:val="left"/>
      <w:pPr>
        <w:ind w:left="9370" w:hanging="360"/>
      </w:pPr>
    </w:lvl>
    <w:lvl w:ilvl="8" w:tplc="080A001B" w:tentative="1">
      <w:start w:val="1"/>
      <w:numFmt w:val="lowerRoman"/>
      <w:lvlText w:val="%9."/>
      <w:lvlJc w:val="right"/>
      <w:pPr>
        <w:ind w:left="10090" w:hanging="180"/>
      </w:pPr>
    </w:lvl>
  </w:abstractNum>
  <w:abstractNum w:abstractNumId="2" w15:restartNumberingAfterBreak="0">
    <w:nsid w:val="2060329A"/>
    <w:multiLevelType w:val="hybridMultilevel"/>
    <w:tmpl w:val="9B7C71F6"/>
    <w:lvl w:ilvl="0" w:tplc="BEB6F682">
      <w:start w:val="1"/>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 w15:restartNumberingAfterBreak="0">
    <w:nsid w:val="3D3F4A15"/>
    <w:multiLevelType w:val="hybridMultilevel"/>
    <w:tmpl w:val="5B763A44"/>
    <w:lvl w:ilvl="0" w:tplc="350EEBCA">
      <w:start w:val="1"/>
      <w:numFmt w:val="lowerLetter"/>
      <w:lvlText w:val="%1)"/>
      <w:lvlJc w:val="left"/>
      <w:pPr>
        <w:ind w:left="3196" w:hanging="360"/>
      </w:pPr>
      <w:rPr>
        <w:rFonts w:hint="default"/>
      </w:rPr>
    </w:lvl>
    <w:lvl w:ilvl="1" w:tplc="080A0019" w:tentative="1">
      <w:start w:val="1"/>
      <w:numFmt w:val="lowerLetter"/>
      <w:lvlText w:val="%2."/>
      <w:lvlJc w:val="left"/>
      <w:pPr>
        <w:ind w:left="3916" w:hanging="360"/>
      </w:pPr>
    </w:lvl>
    <w:lvl w:ilvl="2" w:tplc="080A001B" w:tentative="1">
      <w:start w:val="1"/>
      <w:numFmt w:val="lowerRoman"/>
      <w:lvlText w:val="%3."/>
      <w:lvlJc w:val="right"/>
      <w:pPr>
        <w:ind w:left="4636" w:hanging="180"/>
      </w:pPr>
    </w:lvl>
    <w:lvl w:ilvl="3" w:tplc="080A000F" w:tentative="1">
      <w:start w:val="1"/>
      <w:numFmt w:val="decimal"/>
      <w:lvlText w:val="%4."/>
      <w:lvlJc w:val="left"/>
      <w:pPr>
        <w:ind w:left="5356" w:hanging="360"/>
      </w:pPr>
    </w:lvl>
    <w:lvl w:ilvl="4" w:tplc="080A0019" w:tentative="1">
      <w:start w:val="1"/>
      <w:numFmt w:val="lowerLetter"/>
      <w:lvlText w:val="%5."/>
      <w:lvlJc w:val="left"/>
      <w:pPr>
        <w:ind w:left="6076" w:hanging="360"/>
      </w:pPr>
    </w:lvl>
    <w:lvl w:ilvl="5" w:tplc="080A001B" w:tentative="1">
      <w:start w:val="1"/>
      <w:numFmt w:val="lowerRoman"/>
      <w:lvlText w:val="%6."/>
      <w:lvlJc w:val="right"/>
      <w:pPr>
        <w:ind w:left="6796" w:hanging="180"/>
      </w:pPr>
    </w:lvl>
    <w:lvl w:ilvl="6" w:tplc="080A000F" w:tentative="1">
      <w:start w:val="1"/>
      <w:numFmt w:val="decimal"/>
      <w:lvlText w:val="%7."/>
      <w:lvlJc w:val="left"/>
      <w:pPr>
        <w:ind w:left="7516" w:hanging="360"/>
      </w:pPr>
    </w:lvl>
    <w:lvl w:ilvl="7" w:tplc="080A0019" w:tentative="1">
      <w:start w:val="1"/>
      <w:numFmt w:val="lowerLetter"/>
      <w:lvlText w:val="%8."/>
      <w:lvlJc w:val="left"/>
      <w:pPr>
        <w:ind w:left="8236" w:hanging="360"/>
      </w:pPr>
    </w:lvl>
    <w:lvl w:ilvl="8" w:tplc="080A001B" w:tentative="1">
      <w:start w:val="1"/>
      <w:numFmt w:val="lowerRoman"/>
      <w:lvlText w:val="%9."/>
      <w:lvlJc w:val="right"/>
      <w:pPr>
        <w:ind w:left="8956" w:hanging="180"/>
      </w:pPr>
    </w:lvl>
  </w:abstractNum>
  <w:abstractNum w:abstractNumId="4" w15:restartNumberingAfterBreak="0">
    <w:nsid w:val="5B1B64DC"/>
    <w:multiLevelType w:val="hybridMultilevel"/>
    <w:tmpl w:val="18A49E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F2B"/>
    <w:rsid w:val="00016592"/>
    <w:rsid w:val="00020F82"/>
    <w:rsid w:val="00021F69"/>
    <w:rsid w:val="00024E2C"/>
    <w:rsid w:val="00040292"/>
    <w:rsid w:val="0004687F"/>
    <w:rsid w:val="00046B09"/>
    <w:rsid w:val="00050DDF"/>
    <w:rsid w:val="00063BA5"/>
    <w:rsid w:val="0006458E"/>
    <w:rsid w:val="0007031E"/>
    <w:rsid w:val="00072F7E"/>
    <w:rsid w:val="0008053F"/>
    <w:rsid w:val="00084530"/>
    <w:rsid w:val="000A0928"/>
    <w:rsid w:val="000A293C"/>
    <w:rsid w:val="000C2775"/>
    <w:rsid w:val="000C2EA9"/>
    <w:rsid w:val="000D281B"/>
    <w:rsid w:val="000D2A18"/>
    <w:rsid w:val="000D7E48"/>
    <w:rsid w:val="000E50FE"/>
    <w:rsid w:val="000F11BF"/>
    <w:rsid w:val="00105F93"/>
    <w:rsid w:val="001202EF"/>
    <w:rsid w:val="00120417"/>
    <w:rsid w:val="0012061E"/>
    <w:rsid w:val="0012648D"/>
    <w:rsid w:val="001322B5"/>
    <w:rsid w:val="00145E81"/>
    <w:rsid w:val="001469B5"/>
    <w:rsid w:val="00150389"/>
    <w:rsid w:val="00153422"/>
    <w:rsid w:val="00163CA8"/>
    <w:rsid w:val="00175263"/>
    <w:rsid w:val="001767B6"/>
    <w:rsid w:val="00191D89"/>
    <w:rsid w:val="001A351D"/>
    <w:rsid w:val="001A67FF"/>
    <w:rsid w:val="001B2C7F"/>
    <w:rsid w:val="001B3918"/>
    <w:rsid w:val="001C332D"/>
    <w:rsid w:val="001C4130"/>
    <w:rsid w:val="001C56F9"/>
    <w:rsid w:val="001D75EF"/>
    <w:rsid w:val="001E14E1"/>
    <w:rsid w:val="001E5FCA"/>
    <w:rsid w:val="001E6571"/>
    <w:rsid w:val="002000A8"/>
    <w:rsid w:val="00200D4C"/>
    <w:rsid w:val="0020413C"/>
    <w:rsid w:val="002065F2"/>
    <w:rsid w:val="0021118B"/>
    <w:rsid w:val="00216F1C"/>
    <w:rsid w:val="0024162B"/>
    <w:rsid w:val="002716B0"/>
    <w:rsid w:val="00271D89"/>
    <w:rsid w:val="00273A5E"/>
    <w:rsid w:val="00291117"/>
    <w:rsid w:val="002A4BCC"/>
    <w:rsid w:val="002A7E49"/>
    <w:rsid w:val="002B0823"/>
    <w:rsid w:val="002C3951"/>
    <w:rsid w:val="002C7967"/>
    <w:rsid w:val="003076ED"/>
    <w:rsid w:val="00314B50"/>
    <w:rsid w:val="00326208"/>
    <w:rsid w:val="00336AE6"/>
    <w:rsid w:val="00340049"/>
    <w:rsid w:val="00350B19"/>
    <w:rsid w:val="00361A0E"/>
    <w:rsid w:val="00366F2C"/>
    <w:rsid w:val="0037295C"/>
    <w:rsid w:val="00374D2B"/>
    <w:rsid w:val="00374FEF"/>
    <w:rsid w:val="00375FE3"/>
    <w:rsid w:val="003765C8"/>
    <w:rsid w:val="00382539"/>
    <w:rsid w:val="0039727E"/>
    <w:rsid w:val="003A1E69"/>
    <w:rsid w:val="003A5F71"/>
    <w:rsid w:val="003C0A23"/>
    <w:rsid w:val="003C4404"/>
    <w:rsid w:val="003C6394"/>
    <w:rsid w:val="003C7AF8"/>
    <w:rsid w:val="003E428D"/>
    <w:rsid w:val="003F44DF"/>
    <w:rsid w:val="003F6BB4"/>
    <w:rsid w:val="00402E43"/>
    <w:rsid w:val="004248DE"/>
    <w:rsid w:val="00426311"/>
    <w:rsid w:val="00442624"/>
    <w:rsid w:val="004634E7"/>
    <w:rsid w:val="00464B4E"/>
    <w:rsid w:val="004848C2"/>
    <w:rsid w:val="00486A62"/>
    <w:rsid w:val="004919D2"/>
    <w:rsid w:val="004A7E48"/>
    <w:rsid w:val="004B5150"/>
    <w:rsid w:val="004C20C1"/>
    <w:rsid w:val="004E3BB3"/>
    <w:rsid w:val="004F505F"/>
    <w:rsid w:val="005009F3"/>
    <w:rsid w:val="005057B6"/>
    <w:rsid w:val="0050722C"/>
    <w:rsid w:val="00526273"/>
    <w:rsid w:val="00527669"/>
    <w:rsid w:val="00537721"/>
    <w:rsid w:val="00551B24"/>
    <w:rsid w:val="00554F8E"/>
    <w:rsid w:val="00564A8E"/>
    <w:rsid w:val="00587B7C"/>
    <w:rsid w:val="00590AF0"/>
    <w:rsid w:val="005934E3"/>
    <w:rsid w:val="005C02B7"/>
    <w:rsid w:val="005C7F78"/>
    <w:rsid w:val="005E29C0"/>
    <w:rsid w:val="005E41DB"/>
    <w:rsid w:val="005E517F"/>
    <w:rsid w:val="005F4560"/>
    <w:rsid w:val="00600B6E"/>
    <w:rsid w:val="0061553A"/>
    <w:rsid w:val="00615E83"/>
    <w:rsid w:val="0062232D"/>
    <w:rsid w:val="00623EB8"/>
    <w:rsid w:val="00650F10"/>
    <w:rsid w:val="006537EB"/>
    <w:rsid w:val="0065770B"/>
    <w:rsid w:val="0066401A"/>
    <w:rsid w:val="00665D03"/>
    <w:rsid w:val="00670193"/>
    <w:rsid w:val="00672712"/>
    <w:rsid w:val="00682478"/>
    <w:rsid w:val="00682B7E"/>
    <w:rsid w:val="00683223"/>
    <w:rsid w:val="00684AC0"/>
    <w:rsid w:val="00690AF9"/>
    <w:rsid w:val="006A3D18"/>
    <w:rsid w:val="006B3B94"/>
    <w:rsid w:val="006C1A94"/>
    <w:rsid w:val="006C43BB"/>
    <w:rsid w:val="006C4A65"/>
    <w:rsid w:val="006D05D5"/>
    <w:rsid w:val="006D70E7"/>
    <w:rsid w:val="006F30C5"/>
    <w:rsid w:val="007000BD"/>
    <w:rsid w:val="00707C28"/>
    <w:rsid w:val="00707C80"/>
    <w:rsid w:val="00714C01"/>
    <w:rsid w:val="00731308"/>
    <w:rsid w:val="007367C4"/>
    <w:rsid w:val="00744350"/>
    <w:rsid w:val="007514F0"/>
    <w:rsid w:val="00771CF1"/>
    <w:rsid w:val="00773BC5"/>
    <w:rsid w:val="007743E7"/>
    <w:rsid w:val="00796F44"/>
    <w:rsid w:val="007A2CC8"/>
    <w:rsid w:val="007D69DC"/>
    <w:rsid w:val="007F63B1"/>
    <w:rsid w:val="0080692D"/>
    <w:rsid w:val="0081707E"/>
    <w:rsid w:val="008176E1"/>
    <w:rsid w:val="00824CE1"/>
    <w:rsid w:val="008252FE"/>
    <w:rsid w:val="00825501"/>
    <w:rsid w:val="0083185A"/>
    <w:rsid w:val="00835D36"/>
    <w:rsid w:val="00837F3E"/>
    <w:rsid w:val="008466D2"/>
    <w:rsid w:val="00850CA7"/>
    <w:rsid w:val="00867359"/>
    <w:rsid w:val="008726B2"/>
    <w:rsid w:val="008759AC"/>
    <w:rsid w:val="008A627C"/>
    <w:rsid w:val="008B1EF3"/>
    <w:rsid w:val="008C1308"/>
    <w:rsid w:val="008C4582"/>
    <w:rsid w:val="008D4CF7"/>
    <w:rsid w:val="008E4C6E"/>
    <w:rsid w:val="008F2296"/>
    <w:rsid w:val="008F4D11"/>
    <w:rsid w:val="008F5716"/>
    <w:rsid w:val="00916A91"/>
    <w:rsid w:val="009311E7"/>
    <w:rsid w:val="009315E8"/>
    <w:rsid w:val="00937182"/>
    <w:rsid w:val="00942B40"/>
    <w:rsid w:val="00946073"/>
    <w:rsid w:val="00946814"/>
    <w:rsid w:val="00951D55"/>
    <w:rsid w:val="0095296A"/>
    <w:rsid w:val="00953279"/>
    <w:rsid w:val="0098246E"/>
    <w:rsid w:val="009928AC"/>
    <w:rsid w:val="009A23E7"/>
    <w:rsid w:val="009A77D6"/>
    <w:rsid w:val="009C426A"/>
    <w:rsid w:val="009C6FD6"/>
    <w:rsid w:val="009D7C74"/>
    <w:rsid w:val="009F07D8"/>
    <w:rsid w:val="009F2F7E"/>
    <w:rsid w:val="00A12345"/>
    <w:rsid w:val="00A22CC9"/>
    <w:rsid w:val="00A23276"/>
    <w:rsid w:val="00A255D3"/>
    <w:rsid w:val="00A32436"/>
    <w:rsid w:val="00A42ECD"/>
    <w:rsid w:val="00A5618B"/>
    <w:rsid w:val="00A721C6"/>
    <w:rsid w:val="00A80AEB"/>
    <w:rsid w:val="00A92FCA"/>
    <w:rsid w:val="00AC39B0"/>
    <w:rsid w:val="00AD017E"/>
    <w:rsid w:val="00AE32B4"/>
    <w:rsid w:val="00AE3322"/>
    <w:rsid w:val="00AE4C41"/>
    <w:rsid w:val="00AE63F6"/>
    <w:rsid w:val="00AF2BB2"/>
    <w:rsid w:val="00B0723A"/>
    <w:rsid w:val="00B11A9D"/>
    <w:rsid w:val="00B444AF"/>
    <w:rsid w:val="00B611BD"/>
    <w:rsid w:val="00B6405A"/>
    <w:rsid w:val="00B649D7"/>
    <w:rsid w:val="00B67B74"/>
    <w:rsid w:val="00B7046E"/>
    <w:rsid w:val="00B706CA"/>
    <w:rsid w:val="00B87EEB"/>
    <w:rsid w:val="00BA0476"/>
    <w:rsid w:val="00BA4B3E"/>
    <w:rsid w:val="00BD54C1"/>
    <w:rsid w:val="00BE1F2B"/>
    <w:rsid w:val="00BF1D09"/>
    <w:rsid w:val="00BF1DB6"/>
    <w:rsid w:val="00C007E7"/>
    <w:rsid w:val="00C03226"/>
    <w:rsid w:val="00C05E4E"/>
    <w:rsid w:val="00C14B49"/>
    <w:rsid w:val="00C2265E"/>
    <w:rsid w:val="00C27F32"/>
    <w:rsid w:val="00C303EF"/>
    <w:rsid w:val="00C36961"/>
    <w:rsid w:val="00C4134E"/>
    <w:rsid w:val="00C63861"/>
    <w:rsid w:val="00C904C8"/>
    <w:rsid w:val="00C92965"/>
    <w:rsid w:val="00CA16EB"/>
    <w:rsid w:val="00CB0366"/>
    <w:rsid w:val="00CC0DC1"/>
    <w:rsid w:val="00CF5FC6"/>
    <w:rsid w:val="00D26188"/>
    <w:rsid w:val="00D27FAE"/>
    <w:rsid w:val="00D46521"/>
    <w:rsid w:val="00D533C1"/>
    <w:rsid w:val="00D535F4"/>
    <w:rsid w:val="00D57E22"/>
    <w:rsid w:val="00D66805"/>
    <w:rsid w:val="00D84CBF"/>
    <w:rsid w:val="00D929A8"/>
    <w:rsid w:val="00DB2ADF"/>
    <w:rsid w:val="00DB5239"/>
    <w:rsid w:val="00DB5B84"/>
    <w:rsid w:val="00DE6EF9"/>
    <w:rsid w:val="00DF38E3"/>
    <w:rsid w:val="00DF60CE"/>
    <w:rsid w:val="00E00352"/>
    <w:rsid w:val="00E0145D"/>
    <w:rsid w:val="00E07AEC"/>
    <w:rsid w:val="00E1176E"/>
    <w:rsid w:val="00E13871"/>
    <w:rsid w:val="00E1448C"/>
    <w:rsid w:val="00E25B9F"/>
    <w:rsid w:val="00E35319"/>
    <w:rsid w:val="00E55497"/>
    <w:rsid w:val="00E75C45"/>
    <w:rsid w:val="00E77675"/>
    <w:rsid w:val="00E972C2"/>
    <w:rsid w:val="00EB7DC8"/>
    <w:rsid w:val="00EC45D9"/>
    <w:rsid w:val="00EC5136"/>
    <w:rsid w:val="00ED1004"/>
    <w:rsid w:val="00ED7162"/>
    <w:rsid w:val="00EF142D"/>
    <w:rsid w:val="00EF325A"/>
    <w:rsid w:val="00EF704D"/>
    <w:rsid w:val="00F11863"/>
    <w:rsid w:val="00F1663B"/>
    <w:rsid w:val="00F17CA8"/>
    <w:rsid w:val="00F316DE"/>
    <w:rsid w:val="00F436FE"/>
    <w:rsid w:val="00F564AB"/>
    <w:rsid w:val="00F6503B"/>
    <w:rsid w:val="00F678DA"/>
    <w:rsid w:val="00F72DA9"/>
    <w:rsid w:val="00F7323A"/>
    <w:rsid w:val="00F87E94"/>
    <w:rsid w:val="00F91948"/>
    <w:rsid w:val="00FB1D05"/>
    <w:rsid w:val="00FC1A23"/>
    <w:rsid w:val="00FC3E36"/>
    <w:rsid w:val="00FD3EBA"/>
    <w:rsid w:val="00FD3F7C"/>
    <w:rsid w:val="00FD4B6D"/>
    <w:rsid w:val="00FD75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706B56"/>
  <w15:docId w15:val="{F198FBF4-C3CB-4F74-8D0E-1B716EF69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BE1F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E1F2B"/>
  </w:style>
  <w:style w:type="paragraph" w:styleId="Encabezado">
    <w:name w:val="header"/>
    <w:basedOn w:val="Normal"/>
    <w:link w:val="EncabezadoCar"/>
    <w:uiPriority w:val="99"/>
    <w:unhideWhenUsed/>
    <w:rsid w:val="00BE1F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E1F2B"/>
  </w:style>
  <w:style w:type="character" w:styleId="Nmerodepgina">
    <w:name w:val="page number"/>
    <w:basedOn w:val="Fuentedeprrafopredeter"/>
    <w:uiPriority w:val="99"/>
    <w:rsid w:val="00BE1F2B"/>
  </w:style>
  <w:style w:type="paragraph" w:customStyle="1" w:styleId="Texto">
    <w:name w:val="Texto"/>
    <w:basedOn w:val="Normal"/>
    <w:link w:val="TextoCar1"/>
    <w:rsid w:val="0020413C"/>
    <w:pPr>
      <w:spacing w:after="101" w:line="216" w:lineRule="exact"/>
      <w:ind w:firstLine="288"/>
      <w:jc w:val="both"/>
    </w:pPr>
    <w:rPr>
      <w:rFonts w:ascii="Arial" w:eastAsia="Times New Roman" w:hAnsi="Arial" w:cs="Arial"/>
      <w:sz w:val="18"/>
      <w:szCs w:val="18"/>
      <w:lang w:val="es-ES" w:eastAsia="es-ES"/>
    </w:rPr>
  </w:style>
  <w:style w:type="character" w:customStyle="1" w:styleId="TextoCar1">
    <w:name w:val="Texto Car1"/>
    <w:link w:val="Texto"/>
    <w:locked/>
    <w:rsid w:val="0020413C"/>
    <w:rPr>
      <w:rFonts w:ascii="Arial" w:eastAsia="Times New Roman" w:hAnsi="Arial" w:cs="Arial"/>
      <w:sz w:val="18"/>
      <w:szCs w:val="18"/>
      <w:lang w:val="es-ES" w:eastAsia="es-ES"/>
    </w:rPr>
  </w:style>
  <w:style w:type="paragraph" w:styleId="NormalWeb">
    <w:name w:val="Normal (Web)"/>
    <w:basedOn w:val="Normal"/>
    <w:uiPriority w:val="99"/>
    <w:semiHidden/>
    <w:unhideWhenUsed/>
    <w:rsid w:val="009928AC"/>
    <w:pPr>
      <w:spacing w:after="0" w:line="240" w:lineRule="auto"/>
      <w:jc w:val="both"/>
    </w:pPr>
    <w:rPr>
      <w:rFonts w:ascii="inherit" w:eastAsia="Times New Roman" w:hAnsi="inherit" w:cs="Times New Roman"/>
      <w:sz w:val="24"/>
      <w:szCs w:val="24"/>
      <w:lang w:eastAsia="es-MX"/>
    </w:rPr>
  </w:style>
  <w:style w:type="character" w:customStyle="1" w:styleId="Hipervnculo1">
    <w:name w:val="Hipervínculo1"/>
    <w:basedOn w:val="Fuentedeprrafopredeter"/>
    <w:rsid w:val="009928AC"/>
  </w:style>
  <w:style w:type="character" w:styleId="Refdecomentario">
    <w:name w:val="annotation reference"/>
    <w:basedOn w:val="Fuentedeprrafopredeter"/>
    <w:uiPriority w:val="99"/>
    <w:semiHidden/>
    <w:unhideWhenUsed/>
    <w:rsid w:val="00FD3EBA"/>
    <w:rPr>
      <w:sz w:val="16"/>
      <w:szCs w:val="16"/>
    </w:rPr>
  </w:style>
  <w:style w:type="paragraph" w:styleId="Textocomentario">
    <w:name w:val="annotation text"/>
    <w:basedOn w:val="Normal"/>
    <w:link w:val="TextocomentarioCar"/>
    <w:uiPriority w:val="99"/>
    <w:semiHidden/>
    <w:unhideWhenUsed/>
    <w:rsid w:val="00FD3EB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D3EBA"/>
    <w:rPr>
      <w:sz w:val="20"/>
      <w:szCs w:val="20"/>
    </w:rPr>
  </w:style>
  <w:style w:type="paragraph" w:styleId="Asuntodelcomentario">
    <w:name w:val="annotation subject"/>
    <w:basedOn w:val="Textocomentario"/>
    <w:next w:val="Textocomentario"/>
    <w:link w:val="AsuntodelcomentarioCar"/>
    <w:uiPriority w:val="99"/>
    <w:semiHidden/>
    <w:unhideWhenUsed/>
    <w:rsid w:val="00FD3EBA"/>
    <w:rPr>
      <w:b/>
      <w:bCs/>
    </w:rPr>
  </w:style>
  <w:style w:type="character" w:customStyle="1" w:styleId="AsuntodelcomentarioCar">
    <w:name w:val="Asunto del comentario Car"/>
    <w:basedOn w:val="TextocomentarioCar"/>
    <w:link w:val="Asuntodelcomentario"/>
    <w:uiPriority w:val="99"/>
    <w:semiHidden/>
    <w:rsid w:val="00FD3EBA"/>
    <w:rPr>
      <w:b/>
      <w:bCs/>
      <w:sz w:val="20"/>
      <w:szCs w:val="20"/>
    </w:rPr>
  </w:style>
  <w:style w:type="paragraph" w:styleId="Textodeglobo">
    <w:name w:val="Balloon Text"/>
    <w:basedOn w:val="Normal"/>
    <w:link w:val="TextodegloboCar"/>
    <w:uiPriority w:val="99"/>
    <w:semiHidden/>
    <w:unhideWhenUsed/>
    <w:rsid w:val="00FD3EB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3EBA"/>
    <w:rPr>
      <w:rFonts w:ascii="Segoe UI" w:hAnsi="Segoe UI" w:cs="Segoe UI"/>
      <w:sz w:val="18"/>
      <w:szCs w:val="18"/>
    </w:rPr>
  </w:style>
  <w:style w:type="paragraph" w:styleId="Revisin">
    <w:name w:val="Revision"/>
    <w:hidden/>
    <w:uiPriority w:val="99"/>
    <w:semiHidden/>
    <w:rsid w:val="00FD3EBA"/>
    <w:pPr>
      <w:spacing w:after="0" w:line="240" w:lineRule="auto"/>
    </w:pPr>
  </w:style>
  <w:style w:type="character" w:customStyle="1" w:styleId="Hipervnculo2">
    <w:name w:val="Hipervínculo2"/>
    <w:basedOn w:val="Fuentedeprrafopredeter"/>
    <w:rsid w:val="001C56F9"/>
  </w:style>
  <w:style w:type="paragraph" w:customStyle="1" w:styleId="romanos">
    <w:name w:val="romanos"/>
    <w:basedOn w:val="Normal"/>
    <w:rsid w:val="001C56F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Car">
    <w:name w:val="Texto Car"/>
    <w:locked/>
    <w:rsid w:val="007743E7"/>
    <w:rPr>
      <w:rFonts w:ascii="Arial" w:hAnsi="Arial" w:cs="Arial"/>
      <w:sz w:val="18"/>
      <w:lang w:val="es-ES" w:eastAsia="es-ES" w:bidi="ar-SA"/>
    </w:rPr>
  </w:style>
  <w:style w:type="paragraph" w:customStyle="1" w:styleId="ANOTACION">
    <w:name w:val="ANOTACION"/>
    <w:basedOn w:val="Normal"/>
    <w:link w:val="ANOTACIONCar"/>
    <w:rsid w:val="001E5FCA"/>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1E5FCA"/>
    <w:rPr>
      <w:rFonts w:ascii="Times New Roman" w:eastAsia="Times New Roman" w:hAnsi="Times New Roman" w:cs="Times New Roman"/>
      <w:b/>
      <w:sz w:val="18"/>
      <w:szCs w:val="20"/>
      <w:lang w:val="es-ES_tradnl" w:eastAsia="es-ES"/>
    </w:rPr>
  </w:style>
  <w:style w:type="character" w:customStyle="1" w:styleId="Hipervnculo3">
    <w:name w:val="Hipervínculo3"/>
    <w:basedOn w:val="Fuentedeprrafopredeter"/>
    <w:rsid w:val="003765C8"/>
  </w:style>
  <w:style w:type="paragraph" w:styleId="Prrafodelista">
    <w:name w:val="List Paragraph"/>
    <w:basedOn w:val="Normal"/>
    <w:link w:val="PrrafodelistaCar"/>
    <w:uiPriority w:val="34"/>
    <w:qFormat/>
    <w:rsid w:val="004919D2"/>
    <w:pPr>
      <w:ind w:left="720"/>
      <w:contextualSpacing/>
    </w:pPr>
  </w:style>
  <w:style w:type="character" w:customStyle="1" w:styleId="PrrafodelistaCar">
    <w:name w:val="Párrafo de lista Car"/>
    <w:link w:val="Prrafodelista"/>
    <w:uiPriority w:val="34"/>
    <w:locked/>
    <w:rsid w:val="000D2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36062">
      <w:bodyDiv w:val="1"/>
      <w:marLeft w:val="0"/>
      <w:marRight w:val="0"/>
      <w:marTop w:val="0"/>
      <w:marBottom w:val="0"/>
      <w:divBdr>
        <w:top w:val="none" w:sz="0" w:space="0" w:color="auto"/>
        <w:left w:val="none" w:sz="0" w:space="0" w:color="auto"/>
        <w:bottom w:val="none" w:sz="0" w:space="0" w:color="auto"/>
        <w:right w:val="none" w:sz="0" w:space="0" w:color="auto"/>
      </w:divBdr>
      <w:divsChild>
        <w:div w:id="347104110">
          <w:marLeft w:val="0"/>
          <w:marRight w:val="0"/>
          <w:marTop w:val="0"/>
          <w:marBottom w:val="0"/>
          <w:divBdr>
            <w:top w:val="none" w:sz="0" w:space="0" w:color="auto"/>
            <w:left w:val="none" w:sz="0" w:space="0" w:color="auto"/>
            <w:bottom w:val="none" w:sz="0" w:space="0" w:color="auto"/>
            <w:right w:val="none" w:sz="0" w:space="0" w:color="auto"/>
          </w:divBdr>
          <w:divsChild>
            <w:div w:id="1200705979">
              <w:marLeft w:val="0"/>
              <w:marRight w:val="0"/>
              <w:marTop w:val="150"/>
              <w:marBottom w:val="0"/>
              <w:divBdr>
                <w:top w:val="none" w:sz="0" w:space="0" w:color="auto"/>
                <w:left w:val="none" w:sz="0" w:space="0" w:color="auto"/>
                <w:bottom w:val="none" w:sz="0" w:space="0" w:color="auto"/>
                <w:right w:val="none" w:sz="0" w:space="0" w:color="auto"/>
              </w:divBdr>
              <w:divsChild>
                <w:div w:id="1209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70142">
      <w:bodyDiv w:val="1"/>
      <w:marLeft w:val="0"/>
      <w:marRight w:val="0"/>
      <w:marTop w:val="0"/>
      <w:marBottom w:val="0"/>
      <w:divBdr>
        <w:top w:val="none" w:sz="0" w:space="0" w:color="auto"/>
        <w:left w:val="none" w:sz="0" w:space="0" w:color="auto"/>
        <w:bottom w:val="none" w:sz="0" w:space="0" w:color="auto"/>
        <w:right w:val="none" w:sz="0" w:space="0" w:color="auto"/>
      </w:divBdr>
      <w:divsChild>
        <w:div w:id="789519824">
          <w:marLeft w:val="0"/>
          <w:marRight w:val="0"/>
          <w:marTop w:val="0"/>
          <w:marBottom w:val="0"/>
          <w:divBdr>
            <w:top w:val="none" w:sz="0" w:space="0" w:color="auto"/>
            <w:left w:val="none" w:sz="0" w:space="0" w:color="auto"/>
            <w:bottom w:val="none" w:sz="0" w:space="0" w:color="auto"/>
            <w:right w:val="none" w:sz="0" w:space="0" w:color="auto"/>
          </w:divBdr>
          <w:divsChild>
            <w:div w:id="98457687">
              <w:marLeft w:val="0"/>
              <w:marRight w:val="0"/>
              <w:marTop w:val="0"/>
              <w:marBottom w:val="0"/>
              <w:divBdr>
                <w:top w:val="none" w:sz="0" w:space="0" w:color="auto"/>
                <w:left w:val="none" w:sz="0" w:space="0" w:color="auto"/>
                <w:bottom w:val="none" w:sz="0" w:space="0" w:color="auto"/>
                <w:right w:val="none" w:sz="0" w:space="0" w:color="auto"/>
              </w:divBdr>
              <w:divsChild>
                <w:div w:id="685909351">
                  <w:marLeft w:val="0"/>
                  <w:marRight w:val="0"/>
                  <w:marTop w:val="0"/>
                  <w:marBottom w:val="0"/>
                  <w:divBdr>
                    <w:top w:val="none" w:sz="0" w:space="0" w:color="auto"/>
                    <w:left w:val="none" w:sz="0" w:space="0" w:color="auto"/>
                    <w:bottom w:val="none" w:sz="0" w:space="0" w:color="auto"/>
                    <w:right w:val="none" w:sz="0" w:space="0" w:color="auto"/>
                  </w:divBdr>
                  <w:divsChild>
                    <w:div w:id="1882286585">
                      <w:marLeft w:val="0"/>
                      <w:marRight w:val="0"/>
                      <w:marTop w:val="150"/>
                      <w:marBottom w:val="0"/>
                      <w:divBdr>
                        <w:top w:val="none" w:sz="0" w:space="0" w:color="auto"/>
                        <w:left w:val="none" w:sz="0" w:space="0" w:color="auto"/>
                        <w:bottom w:val="none" w:sz="0" w:space="0" w:color="auto"/>
                        <w:right w:val="none" w:sz="0" w:space="0" w:color="auto"/>
                      </w:divBdr>
                      <w:divsChild>
                        <w:div w:id="34833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781621">
      <w:bodyDiv w:val="1"/>
      <w:marLeft w:val="0"/>
      <w:marRight w:val="0"/>
      <w:marTop w:val="0"/>
      <w:marBottom w:val="0"/>
      <w:divBdr>
        <w:top w:val="none" w:sz="0" w:space="0" w:color="auto"/>
        <w:left w:val="none" w:sz="0" w:space="0" w:color="auto"/>
        <w:bottom w:val="none" w:sz="0" w:space="0" w:color="auto"/>
        <w:right w:val="none" w:sz="0" w:space="0" w:color="auto"/>
      </w:divBdr>
      <w:divsChild>
        <w:div w:id="1249803408">
          <w:marLeft w:val="0"/>
          <w:marRight w:val="0"/>
          <w:marTop w:val="0"/>
          <w:marBottom w:val="0"/>
          <w:divBdr>
            <w:top w:val="none" w:sz="0" w:space="0" w:color="auto"/>
            <w:left w:val="none" w:sz="0" w:space="0" w:color="auto"/>
            <w:bottom w:val="none" w:sz="0" w:space="0" w:color="auto"/>
            <w:right w:val="none" w:sz="0" w:space="0" w:color="auto"/>
          </w:divBdr>
          <w:divsChild>
            <w:div w:id="1387531380">
              <w:marLeft w:val="0"/>
              <w:marRight w:val="0"/>
              <w:marTop w:val="0"/>
              <w:marBottom w:val="0"/>
              <w:divBdr>
                <w:top w:val="none" w:sz="0" w:space="0" w:color="auto"/>
                <w:left w:val="none" w:sz="0" w:space="0" w:color="auto"/>
                <w:bottom w:val="none" w:sz="0" w:space="0" w:color="auto"/>
                <w:right w:val="none" w:sz="0" w:space="0" w:color="auto"/>
              </w:divBdr>
              <w:divsChild>
                <w:div w:id="1351878482">
                  <w:marLeft w:val="0"/>
                  <w:marRight w:val="0"/>
                  <w:marTop w:val="0"/>
                  <w:marBottom w:val="0"/>
                  <w:divBdr>
                    <w:top w:val="none" w:sz="0" w:space="0" w:color="auto"/>
                    <w:left w:val="none" w:sz="0" w:space="0" w:color="auto"/>
                    <w:bottom w:val="none" w:sz="0" w:space="0" w:color="auto"/>
                    <w:right w:val="none" w:sz="0" w:space="0" w:color="auto"/>
                  </w:divBdr>
                  <w:divsChild>
                    <w:div w:id="1133013879">
                      <w:marLeft w:val="0"/>
                      <w:marRight w:val="0"/>
                      <w:marTop w:val="150"/>
                      <w:marBottom w:val="0"/>
                      <w:divBdr>
                        <w:top w:val="none" w:sz="0" w:space="0" w:color="auto"/>
                        <w:left w:val="none" w:sz="0" w:space="0" w:color="auto"/>
                        <w:bottom w:val="none" w:sz="0" w:space="0" w:color="auto"/>
                        <w:right w:val="none" w:sz="0" w:space="0" w:color="auto"/>
                      </w:divBdr>
                      <w:divsChild>
                        <w:div w:id="126577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4611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MIROSLAVA ROMAN VAZQUEZ</dc:creator>
  <cp:lastModifiedBy>DAMARIS RAMOS DOMINGUEZ</cp:lastModifiedBy>
  <cp:revision>2</cp:revision>
  <cp:lastPrinted>2015-03-23T15:00:00Z</cp:lastPrinted>
  <dcterms:created xsi:type="dcterms:W3CDTF">2018-06-13T14:12:00Z</dcterms:created>
  <dcterms:modified xsi:type="dcterms:W3CDTF">2018-06-13T14:12:00Z</dcterms:modified>
</cp:coreProperties>
</file>