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90D02" w14:textId="71FBA737" w:rsidR="00207988" w:rsidRDefault="00207988" w:rsidP="002079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Anexo </w:t>
      </w:r>
      <w:r w:rsidR="00205F5C">
        <w:rPr>
          <w:rFonts w:ascii="Arial" w:hAnsi="Arial" w:cs="Arial"/>
          <w:b/>
          <w:color w:val="000000" w:themeColor="text1"/>
          <w:sz w:val="28"/>
          <w:szCs w:val="28"/>
        </w:rPr>
        <w:t>C</w:t>
      </w:r>
    </w:p>
    <w:p w14:paraId="185A40D0" w14:textId="587D4EC4" w:rsidR="00D36B2F" w:rsidRPr="004A7786" w:rsidRDefault="002A6FED" w:rsidP="002079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A7786">
        <w:rPr>
          <w:rFonts w:ascii="Arial" w:hAnsi="Arial" w:cs="Arial"/>
          <w:b/>
          <w:color w:val="000000" w:themeColor="text1"/>
          <w:sz w:val="28"/>
          <w:szCs w:val="28"/>
        </w:rPr>
        <w:t xml:space="preserve">Determinación del </w:t>
      </w:r>
      <w:r w:rsidR="00205F5C">
        <w:rPr>
          <w:rFonts w:ascii="Arial" w:hAnsi="Arial" w:cs="Arial"/>
          <w:b/>
          <w:color w:val="000000" w:themeColor="text1"/>
          <w:sz w:val="28"/>
          <w:szCs w:val="28"/>
        </w:rPr>
        <w:t>R</w:t>
      </w:r>
      <w:r w:rsidRPr="004A7786">
        <w:rPr>
          <w:rFonts w:ascii="Arial" w:hAnsi="Arial" w:cs="Arial"/>
          <w:b/>
          <w:color w:val="000000" w:themeColor="text1"/>
          <w:sz w:val="28"/>
          <w:szCs w:val="28"/>
        </w:rPr>
        <w:t>iesgo</w:t>
      </w:r>
      <w:r w:rsidR="00205F5C">
        <w:rPr>
          <w:rFonts w:ascii="Arial" w:hAnsi="Arial" w:cs="Arial"/>
          <w:b/>
          <w:color w:val="000000" w:themeColor="text1"/>
          <w:sz w:val="28"/>
          <w:szCs w:val="28"/>
        </w:rPr>
        <w:t xml:space="preserve"> P</w:t>
      </w:r>
      <w:r w:rsidR="00D36B2F" w:rsidRPr="004A7786">
        <w:rPr>
          <w:rFonts w:ascii="Arial" w:hAnsi="Arial" w:cs="Arial"/>
          <w:b/>
          <w:color w:val="000000" w:themeColor="text1"/>
          <w:sz w:val="28"/>
          <w:szCs w:val="28"/>
        </w:rPr>
        <w:t>aís</w:t>
      </w:r>
    </w:p>
    <w:p w14:paraId="59751B24" w14:textId="77777777" w:rsidR="00D36B2F" w:rsidRPr="003A64FF" w:rsidRDefault="00D36B2F" w:rsidP="009E456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27D176E" w14:textId="5D44B49F" w:rsidR="00E700CC" w:rsidRDefault="002A6FED" w:rsidP="009E4564">
      <w:pPr>
        <w:pStyle w:val="Prrafodelista"/>
        <w:spacing w:after="0" w:line="240" w:lineRule="auto"/>
        <w:ind w:left="0" w:right="4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 w:rsidRPr="002A6FED">
        <w:t xml:space="preserve"> </w:t>
      </w:r>
      <w:r>
        <w:rPr>
          <w:rFonts w:ascii="Arial" w:hAnsi="Arial" w:cs="Arial"/>
          <w:sz w:val="24"/>
          <w:szCs w:val="24"/>
        </w:rPr>
        <w:t>acuerdo con e</w:t>
      </w:r>
      <w:r w:rsidRPr="002A6FED">
        <w:rPr>
          <w:rFonts w:ascii="Arial" w:hAnsi="Arial" w:cs="Arial"/>
          <w:sz w:val="24"/>
          <w:szCs w:val="24"/>
        </w:rPr>
        <w:t>l método establecido en el Anexo II de las Disposiciones Administrativas de Carácter General que especifican la metodología de tarifas de distribución por ducto de gas natural</w:t>
      </w:r>
      <w:r w:rsidR="004A2EA8">
        <w:rPr>
          <w:rFonts w:ascii="Arial" w:hAnsi="Arial" w:cs="Arial"/>
          <w:sz w:val="24"/>
          <w:szCs w:val="24"/>
        </w:rPr>
        <w:t xml:space="preserve"> (Disposiciones)</w:t>
      </w:r>
      <w:r>
        <w:rPr>
          <w:rFonts w:ascii="Arial" w:hAnsi="Arial" w:cs="Arial"/>
          <w:sz w:val="24"/>
          <w:szCs w:val="24"/>
        </w:rPr>
        <w:t>, p</w:t>
      </w:r>
      <w:r w:rsidR="003B7153" w:rsidRPr="005D7EC3">
        <w:rPr>
          <w:rFonts w:ascii="Arial" w:hAnsi="Arial" w:cs="Arial"/>
          <w:sz w:val="24"/>
          <w:szCs w:val="24"/>
        </w:rPr>
        <w:t>ara la determinación del riesgo</w:t>
      </w:r>
      <w:r w:rsidR="003B112C">
        <w:rPr>
          <w:rFonts w:ascii="Arial" w:hAnsi="Arial" w:cs="Arial"/>
          <w:sz w:val="24"/>
          <w:szCs w:val="24"/>
        </w:rPr>
        <w:t>-</w:t>
      </w:r>
      <w:r w:rsidR="003B7153" w:rsidRPr="005D7EC3">
        <w:rPr>
          <w:rFonts w:ascii="Arial" w:hAnsi="Arial" w:cs="Arial"/>
          <w:sz w:val="24"/>
          <w:szCs w:val="24"/>
        </w:rPr>
        <w:t>país</w:t>
      </w:r>
      <w:r w:rsidR="00333161">
        <w:rPr>
          <w:rFonts w:ascii="Arial" w:hAnsi="Arial" w:cs="Arial"/>
          <w:sz w:val="24"/>
          <w:szCs w:val="24"/>
        </w:rPr>
        <w:t xml:space="preserve"> de México</w:t>
      </w:r>
      <w:r w:rsidR="003B7153" w:rsidRPr="005D7EC3">
        <w:rPr>
          <w:rFonts w:ascii="Arial" w:hAnsi="Arial" w:cs="Arial"/>
          <w:sz w:val="24"/>
          <w:szCs w:val="24"/>
        </w:rPr>
        <w:t xml:space="preserve">, </w:t>
      </w:r>
      <w:r w:rsidR="00833D67">
        <w:rPr>
          <w:rFonts w:ascii="Arial" w:hAnsi="Arial" w:cs="Arial"/>
          <w:sz w:val="24"/>
          <w:szCs w:val="24"/>
        </w:rPr>
        <w:t>se debe utilizar la siguiente ecuación:</w:t>
      </w:r>
    </w:p>
    <w:p w14:paraId="04D3C8F4" w14:textId="63B987B3" w:rsidR="00833D67" w:rsidRDefault="00833D67" w:rsidP="00833D67">
      <w:pPr>
        <w:pStyle w:val="Prrafodelista"/>
        <w:spacing w:after="0" w:line="240" w:lineRule="auto"/>
        <w:ind w:left="0" w:right="4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4BD0DC88" w14:textId="77777777" w:rsidR="00833D67" w:rsidRPr="009E4564" w:rsidRDefault="0043103B" w:rsidP="00833D67">
      <w:pPr>
        <w:spacing w:after="0" w:line="240" w:lineRule="auto"/>
        <w:ind w:right="49"/>
        <w:jc w:val="both"/>
        <w:rPr>
          <w:rFonts w:ascii="Arial" w:hAnsi="Arial" w:cs="Arial"/>
          <w:sz w:val="32"/>
          <w:szCs w:val="32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sz w:val="32"/>
                  <w:szCs w:val="32"/>
                </w:rPr>
                <m:t>r</m:t>
              </m:r>
            </m:e>
            <m:sub>
              <m:r>
                <w:rPr>
                  <w:rFonts w:ascii="Cambria Math" w:hAnsi="Cambria Math" w:cs="Arial"/>
                  <w:sz w:val="32"/>
                  <w:szCs w:val="32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sz w:val="32"/>
                  <w:szCs w:val="32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2"/>
                      <w:szCs w:val="32"/>
                    </w:rPr>
                    <m:t>=1</m:t>
                  </m:r>
                </m:sub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 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Arial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Arial"/>
                  <w:sz w:val="32"/>
                  <w:szCs w:val="32"/>
                </w:rPr>
                <m:t>n</m:t>
              </m:r>
            </m:den>
          </m:f>
        </m:oMath>
      </m:oMathPara>
    </w:p>
    <w:p w14:paraId="26A92779" w14:textId="77777777" w:rsidR="00833D67" w:rsidRPr="005D7EC3" w:rsidRDefault="00833D67" w:rsidP="00833D67">
      <w:pPr>
        <w:spacing w:after="0" w:line="240" w:lineRule="auto"/>
        <w:ind w:left="360" w:right="51"/>
        <w:jc w:val="both"/>
        <w:rPr>
          <w:rFonts w:ascii="Arial" w:hAnsi="Arial" w:cs="Arial"/>
          <w:sz w:val="24"/>
          <w:szCs w:val="24"/>
        </w:rPr>
      </w:pPr>
    </w:p>
    <w:p w14:paraId="425C0D2C" w14:textId="77777777" w:rsidR="00833D67" w:rsidRPr="005D7EC3" w:rsidRDefault="00833D67" w:rsidP="00833D67">
      <w:pPr>
        <w:spacing w:after="0" w:line="240" w:lineRule="auto"/>
        <w:ind w:right="51"/>
        <w:jc w:val="both"/>
        <w:rPr>
          <w:rFonts w:ascii="Arial" w:hAnsi="Arial" w:cs="Arial"/>
          <w:sz w:val="24"/>
          <w:szCs w:val="24"/>
        </w:rPr>
      </w:pPr>
      <w:r w:rsidRPr="005D7EC3">
        <w:rPr>
          <w:rFonts w:ascii="Arial" w:hAnsi="Arial" w:cs="Arial"/>
          <w:sz w:val="24"/>
          <w:szCs w:val="24"/>
        </w:rPr>
        <w:t>Donde:</w:t>
      </w:r>
    </w:p>
    <w:p w14:paraId="60721E02" w14:textId="77777777" w:rsidR="00833D67" w:rsidRPr="005D7EC3" w:rsidRDefault="00833D67" w:rsidP="00833D67">
      <w:pPr>
        <w:spacing w:after="0" w:line="240" w:lineRule="auto"/>
        <w:ind w:left="360" w:right="51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5"/>
        <w:gridCol w:w="7319"/>
      </w:tblGrid>
      <w:tr w:rsidR="00833D67" w:rsidRPr="005D7EC3" w14:paraId="65CC570C" w14:textId="77777777" w:rsidTr="00156196">
        <w:tc>
          <w:tcPr>
            <w:tcW w:w="1225" w:type="dxa"/>
          </w:tcPr>
          <w:p w14:paraId="14F62871" w14:textId="77777777" w:rsidR="00833D67" w:rsidRPr="009E4564" w:rsidRDefault="0043103B" w:rsidP="00156196">
            <w:pPr>
              <w:spacing w:after="0" w:line="240" w:lineRule="auto"/>
              <w:ind w:left="360" w:right="5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sub>
              </m:sSub>
            </m:oMath>
            <w:r w:rsidR="00833D67">
              <w:rPr>
                <w:rFonts w:ascii="Arial" w:eastAsiaTheme="minorEastAsia" w:hAnsi="Arial" w:cs="Arial"/>
                <w:sz w:val="20"/>
                <w:szCs w:val="20"/>
              </w:rPr>
              <w:t xml:space="preserve">  =</w:t>
            </w:r>
          </w:p>
        </w:tc>
        <w:tc>
          <w:tcPr>
            <w:tcW w:w="7319" w:type="dxa"/>
          </w:tcPr>
          <w:p w14:paraId="427A383D" w14:textId="77777777" w:rsidR="00833D67" w:rsidRPr="005D7EC3" w:rsidRDefault="00833D67" w:rsidP="00156196">
            <w:pPr>
              <w:spacing w:after="0" w:line="240" w:lineRule="auto"/>
              <w:ind w:left="360" w:right="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EC3">
              <w:rPr>
                <w:rFonts w:ascii="Arial" w:hAnsi="Arial" w:cs="Arial"/>
                <w:sz w:val="20"/>
                <w:szCs w:val="20"/>
              </w:rPr>
              <w:t>Riesgo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D7EC3">
              <w:rPr>
                <w:rFonts w:ascii="Arial" w:hAnsi="Arial" w:cs="Arial"/>
                <w:sz w:val="20"/>
                <w:szCs w:val="20"/>
              </w:rPr>
              <w:t>país de México.</w:t>
            </w:r>
          </w:p>
        </w:tc>
      </w:tr>
      <w:tr w:rsidR="00833D67" w:rsidRPr="005D7EC3" w14:paraId="06874C85" w14:textId="77777777" w:rsidTr="00156196">
        <w:tc>
          <w:tcPr>
            <w:tcW w:w="1225" w:type="dxa"/>
          </w:tcPr>
          <w:p w14:paraId="6B344DDC" w14:textId="77777777" w:rsidR="00833D67" w:rsidRPr="005D7EC3" w:rsidRDefault="0043103B" w:rsidP="00156196">
            <w:pPr>
              <w:spacing w:after="0" w:line="240" w:lineRule="auto"/>
              <w:ind w:left="360" w:right="51"/>
              <w:jc w:val="right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i</m:t>
                  </m:r>
                </m:sub>
              </m:sSub>
            </m:oMath>
            <w:r w:rsidR="00833D67" w:rsidRPr="005D7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3D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3D67" w:rsidRPr="005D7EC3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7319" w:type="dxa"/>
          </w:tcPr>
          <w:p w14:paraId="509BDD58" w14:textId="77777777" w:rsidR="00833D67" w:rsidRPr="005D7EC3" w:rsidRDefault="00833D67" w:rsidP="00156196">
            <w:pPr>
              <w:spacing w:after="0" w:line="240" w:lineRule="auto"/>
              <w:ind w:left="360" w:right="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EC3">
              <w:rPr>
                <w:rFonts w:ascii="Arial" w:hAnsi="Arial" w:cs="Arial"/>
                <w:sz w:val="20"/>
                <w:szCs w:val="20"/>
              </w:rPr>
              <w:t xml:space="preserve">Valor de la serie </w:t>
            </w:r>
            <w:r w:rsidRPr="009E4564">
              <w:rPr>
                <w:rFonts w:ascii="Arial" w:hAnsi="Arial" w:cs="Arial"/>
                <w:i/>
                <w:sz w:val="20"/>
                <w:szCs w:val="20"/>
              </w:rPr>
              <w:t>EMBI+ Spread México</w:t>
            </w:r>
            <w:r w:rsidRPr="005D7EC3">
              <w:rPr>
                <w:rFonts w:ascii="Arial" w:hAnsi="Arial" w:cs="Arial"/>
                <w:sz w:val="20"/>
                <w:szCs w:val="20"/>
              </w:rPr>
              <w:t xml:space="preserve"> para el día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i</m:t>
              </m:r>
            </m:oMath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33D67" w:rsidRPr="005D7EC3" w14:paraId="0F16409D" w14:textId="77777777" w:rsidTr="00156196">
        <w:tc>
          <w:tcPr>
            <w:tcW w:w="1225" w:type="dxa"/>
          </w:tcPr>
          <w:p w14:paraId="0F8F2BBD" w14:textId="77777777" w:rsidR="00833D67" w:rsidRPr="005D7EC3" w:rsidRDefault="00833D67" w:rsidP="00156196">
            <w:pPr>
              <w:spacing w:after="0" w:line="240" w:lineRule="auto"/>
              <w:ind w:left="360" w:right="51"/>
              <w:jc w:val="right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n 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 </w:t>
            </w:r>
            <w:r w:rsidRPr="005D7EC3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7319" w:type="dxa"/>
          </w:tcPr>
          <w:p w14:paraId="028DA597" w14:textId="77777777" w:rsidR="00833D67" w:rsidRPr="005D7EC3" w:rsidRDefault="00833D67" w:rsidP="00156196">
            <w:pPr>
              <w:spacing w:after="0" w:line="240" w:lineRule="auto"/>
              <w:ind w:left="360" w:right="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EC3">
              <w:rPr>
                <w:rFonts w:ascii="Arial" w:hAnsi="Arial" w:cs="Arial"/>
                <w:sz w:val="20"/>
                <w:szCs w:val="20"/>
              </w:rPr>
              <w:t xml:space="preserve">Total de cotizaciones disponibles para la serie </w:t>
            </w:r>
            <w:r w:rsidRPr="009E4564">
              <w:rPr>
                <w:rFonts w:ascii="Arial" w:hAnsi="Arial" w:cs="Arial"/>
                <w:i/>
                <w:sz w:val="20"/>
                <w:szCs w:val="20"/>
              </w:rPr>
              <w:t>EMBI+ Spread México</w:t>
            </w:r>
            <w:r>
              <w:rPr>
                <w:rFonts w:ascii="Arial" w:hAnsi="Arial" w:cs="Arial"/>
                <w:sz w:val="20"/>
                <w:szCs w:val="20"/>
              </w:rPr>
              <w:t xml:space="preserve"> dentro de un rango de 10 (diez años), del cual su fecha de fin es el último día del mes previo al cálculo del riesgo-país.</w:t>
            </w:r>
          </w:p>
        </w:tc>
      </w:tr>
    </w:tbl>
    <w:p w14:paraId="3BF3120A" w14:textId="60514706" w:rsidR="00833D67" w:rsidRDefault="00833D67" w:rsidP="009E4564">
      <w:pPr>
        <w:pStyle w:val="Prrafodelista"/>
        <w:spacing w:after="0" w:line="240" w:lineRule="auto"/>
        <w:ind w:left="0" w:right="4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0A63ADD1" w14:textId="3ACD2E8A" w:rsidR="00833D67" w:rsidRDefault="00833D67" w:rsidP="00833D67">
      <w:pPr>
        <w:pStyle w:val="Prrafodelista"/>
        <w:spacing w:after="0" w:line="240" w:lineRule="auto"/>
        <w:ind w:left="0" w:right="4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respecto, l</w:t>
      </w:r>
      <w:r w:rsidRPr="009E4564">
        <w:rPr>
          <w:rFonts w:ascii="Arial" w:hAnsi="Arial" w:cs="Arial"/>
          <w:sz w:val="24"/>
          <w:szCs w:val="24"/>
        </w:rPr>
        <w:t>as especificaciones</w:t>
      </w:r>
      <w:r w:rsidRPr="007F581E">
        <w:rPr>
          <w:rFonts w:ascii="Arial" w:hAnsi="Arial" w:cs="Arial"/>
          <w:sz w:val="24"/>
          <w:szCs w:val="24"/>
        </w:rPr>
        <w:t xml:space="preserve"> de la serie </w:t>
      </w:r>
      <w:r>
        <w:rPr>
          <w:rFonts w:ascii="Arial" w:hAnsi="Arial" w:cs="Arial"/>
          <w:sz w:val="24"/>
          <w:szCs w:val="24"/>
        </w:rPr>
        <w:t>a utilizar</w:t>
      </w:r>
      <w:r w:rsidRPr="007F581E">
        <w:rPr>
          <w:rFonts w:ascii="Arial" w:hAnsi="Arial" w:cs="Arial"/>
          <w:sz w:val="24"/>
          <w:szCs w:val="24"/>
        </w:rPr>
        <w:t xml:space="preserve"> para la estimación del riesgo</w:t>
      </w:r>
      <w:r>
        <w:rPr>
          <w:rFonts w:ascii="Arial" w:hAnsi="Arial" w:cs="Arial"/>
          <w:sz w:val="24"/>
          <w:szCs w:val="24"/>
        </w:rPr>
        <w:t>-</w:t>
      </w:r>
      <w:r w:rsidRPr="007F581E">
        <w:rPr>
          <w:rFonts w:ascii="Arial" w:hAnsi="Arial" w:cs="Arial"/>
          <w:sz w:val="24"/>
          <w:szCs w:val="24"/>
        </w:rPr>
        <w:t>país</w:t>
      </w:r>
      <w:r>
        <w:rPr>
          <w:rFonts w:ascii="Arial" w:hAnsi="Arial" w:cs="Arial"/>
          <w:sz w:val="24"/>
          <w:szCs w:val="24"/>
        </w:rPr>
        <w:t xml:space="preserve"> de México</w:t>
      </w:r>
      <w:r w:rsidRPr="007F581E">
        <w:rPr>
          <w:rFonts w:ascii="Arial" w:hAnsi="Arial" w:cs="Arial"/>
          <w:sz w:val="24"/>
          <w:szCs w:val="24"/>
        </w:rPr>
        <w:t xml:space="preserve"> son las siguientes:</w:t>
      </w:r>
    </w:p>
    <w:p w14:paraId="2D0FE931" w14:textId="77777777" w:rsidR="00833D67" w:rsidRDefault="00833D67" w:rsidP="00833D67">
      <w:pPr>
        <w:pStyle w:val="Prrafodelista"/>
        <w:spacing w:after="0" w:line="240" w:lineRule="auto"/>
        <w:ind w:left="0" w:right="49"/>
        <w:contextualSpacing w:val="0"/>
        <w:jc w:val="both"/>
        <w:rPr>
          <w:rFonts w:ascii="Arial" w:hAnsi="Arial" w:cs="Arial"/>
          <w:sz w:val="24"/>
          <w:szCs w:val="24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528"/>
      </w:tblGrid>
      <w:tr w:rsidR="00833D67" w:rsidRPr="009E4564" w14:paraId="5242868C" w14:textId="77777777" w:rsidTr="004A7786">
        <w:trPr>
          <w:jc w:val="center"/>
        </w:trPr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E820E3" w14:textId="77777777" w:rsidR="00833D67" w:rsidRPr="009E4564" w:rsidRDefault="00833D67" w:rsidP="001561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4A7786">
              <w:rPr>
                <w:rFonts w:ascii="Arial" w:hAnsi="Arial" w:cs="Arial"/>
                <w:b/>
                <w:sz w:val="20"/>
              </w:rPr>
              <w:t>Tabla 1. Serie para la estimación del riesgo-país</w:t>
            </w:r>
          </w:p>
        </w:tc>
      </w:tr>
      <w:tr w:rsidR="00833D67" w:rsidRPr="009E4564" w14:paraId="113B196E" w14:textId="77777777" w:rsidTr="004A7786">
        <w:trPr>
          <w:trHeight w:val="44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079C8" w14:textId="77777777" w:rsidR="00833D67" w:rsidRPr="009E4564" w:rsidRDefault="00833D67" w:rsidP="00156196">
            <w:pPr>
              <w:pStyle w:val="02Bodytext"/>
              <w:spacing w:after="0" w:line="240" w:lineRule="auto"/>
              <w:rPr>
                <w:rFonts w:cs="Arial"/>
                <w:b/>
                <w:sz w:val="20"/>
                <w:szCs w:val="22"/>
                <w:lang w:val="es-MX"/>
              </w:rPr>
            </w:pPr>
            <w:r w:rsidRPr="009E4564">
              <w:rPr>
                <w:rFonts w:cs="Arial"/>
                <w:b/>
                <w:sz w:val="20"/>
                <w:szCs w:val="22"/>
                <w:lang w:val="es-MX"/>
              </w:rPr>
              <w:t>Fuente: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BCCE17" w14:textId="77777777" w:rsidR="00833D67" w:rsidRPr="009E4564" w:rsidRDefault="00833D67" w:rsidP="00156196">
            <w:pPr>
              <w:pStyle w:val="02Bodytext"/>
              <w:spacing w:after="0" w:line="240" w:lineRule="auto"/>
              <w:jc w:val="both"/>
              <w:rPr>
                <w:rFonts w:cs="Arial"/>
                <w:i/>
                <w:sz w:val="20"/>
                <w:szCs w:val="22"/>
                <w:lang w:val="es-MX"/>
              </w:rPr>
            </w:pPr>
            <w:r w:rsidRPr="009E4564">
              <w:rPr>
                <w:rFonts w:cs="Arial"/>
                <w:i/>
                <w:sz w:val="20"/>
                <w:szCs w:val="22"/>
                <w:lang w:val="es-MX"/>
              </w:rPr>
              <w:t>Thomson Reuters Datastream</w:t>
            </w:r>
          </w:p>
        </w:tc>
      </w:tr>
      <w:tr w:rsidR="00833D67" w:rsidRPr="009E4564" w14:paraId="64614EDA" w14:textId="77777777" w:rsidTr="004A7786">
        <w:trPr>
          <w:trHeight w:val="446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B58F8" w14:textId="77777777" w:rsidR="00833D67" w:rsidRPr="009E4564" w:rsidRDefault="00833D67" w:rsidP="00156196">
            <w:pPr>
              <w:pStyle w:val="02Bodytext"/>
              <w:spacing w:after="0" w:line="240" w:lineRule="auto"/>
              <w:rPr>
                <w:rFonts w:cs="Arial"/>
                <w:b/>
                <w:sz w:val="20"/>
                <w:szCs w:val="22"/>
                <w:lang w:val="es-MX"/>
              </w:rPr>
            </w:pPr>
            <w:r w:rsidRPr="009E4564">
              <w:rPr>
                <w:rFonts w:cs="Arial"/>
                <w:b/>
                <w:sz w:val="20"/>
                <w:szCs w:val="22"/>
                <w:lang w:val="es-MX"/>
              </w:rPr>
              <w:t>Serie: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A0EAED" w14:textId="77777777" w:rsidR="00833D67" w:rsidRPr="009E4564" w:rsidRDefault="00833D67" w:rsidP="00156196">
            <w:pPr>
              <w:pStyle w:val="02Bodytext"/>
              <w:spacing w:after="0" w:line="240" w:lineRule="auto"/>
              <w:jc w:val="both"/>
              <w:rPr>
                <w:rFonts w:cs="Arial"/>
                <w:i/>
                <w:sz w:val="20"/>
                <w:szCs w:val="22"/>
                <w:lang w:val="es-MX"/>
              </w:rPr>
            </w:pPr>
            <w:r w:rsidRPr="009E4564">
              <w:rPr>
                <w:rFonts w:cs="Arial"/>
                <w:i/>
                <w:sz w:val="20"/>
                <w:szCs w:val="22"/>
                <w:lang w:val="es-MX"/>
              </w:rPr>
              <w:t>JPMEPMEX</w:t>
            </w:r>
          </w:p>
        </w:tc>
      </w:tr>
      <w:tr w:rsidR="00833D67" w:rsidRPr="009E4564" w14:paraId="41E02D0F" w14:textId="77777777" w:rsidTr="004A7786">
        <w:trPr>
          <w:trHeight w:val="1084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AE95A" w14:textId="77777777" w:rsidR="00833D67" w:rsidRPr="009E4564" w:rsidRDefault="00833D67" w:rsidP="00156196">
            <w:pPr>
              <w:pStyle w:val="02Bodytext"/>
              <w:spacing w:after="0" w:line="240" w:lineRule="auto"/>
              <w:rPr>
                <w:rFonts w:cs="Arial"/>
                <w:b/>
                <w:sz w:val="20"/>
                <w:szCs w:val="22"/>
                <w:lang w:val="es-MX"/>
              </w:rPr>
            </w:pPr>
            <w:r w:rsidRPr="009E4564">
              <w:rPr>
                <w:rFonts w:cs="Arial"/>
                <w:b/>
                <w:sz w:val="20"/>
                <w:szCs w:val="22"/>
                <w:lang w:val="es-MX"/>
              </w:rPr>
              <w:t xml:space="preserve">Tipo de Datos: 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76C13E" w14:textId="77777777" w:rsidR="00833D67" w:rsidRPr="009E4564" w:rsidRDefault="00833D67" w:rsidP="00156196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sz w:val="20"/>
              </w:rPr>
            </w:pPr>
            <w:r w:rsidRPr="009E4564">
              <w:rPr>
                <w:rFonts w:ascii="Arial" w:eastAsia="MS PGothic" w:hAnsi="Arial" w:cs="Arial"/>
                <w:i/>
                <w:color w:val="000000"/>
                <w:sz w:val="20"/>
                <w:lang w:eastAsia="ja-JP"/>
              </w:rPr>
              <w:t>STRIPPED SPREAD</w:t>
            </w:r>
            <w:r>
              <w:rPr>
                <w:rFonts w:ascii="Arial" w:eastAsia="MS PGothic" w:hAnsi="Arial" w:cs="Arial"/>
                <w:color w:val="000000"/>
                <w:sz w:val="20"/>
                <w:lang w:eastAsia="ja-JP"/>
              </w:rPr>
              <w:t xml:space="preserve"> - </w:t>
            </w:r>
            <w:r w:rsidRPr="009E4564">
              <w:rPr>
                <w:rFonts w:ascii="Arial" w:eastAsia="MS PGothic" w:hAnsi="Arial" w:cs="Arial"/>
                <w:color w:val="000000"/>
                <w:sz w:val="20"/>
                <w:lang w:eastAsia="ja-JP"/>
              </w:rPr>
              <w:t xml:space="preserve">diferencia en puntos base entre los bonos del Tesoro de </w:t>
            </w:r>
            <w:r>
              <w:rPr>
                <w:rFonts w:ascii="Arial" w:eastAsia="MS PGothic" w:hAnsi="Arial" w:cs="Arial"/>
                <w:color w:val="000000"/>
                <w:sz w:val="20"/>
                <w:lang w:eastAsia="ja-JP"/>
              </w:rPr>
              <w:t xml:space="preserve">los </w:t>
            </w:r>
            <w:r w:rsidRPr="009E4564">
              <w:rPr>
                <w:rFonts w:ascii="Arial" w:eastAsia="MS PGothic" w:hAnsi="Arial" w:cs="Arial"/>
                <w:color w:val="000000"/>
                <w:sz w:val="20"/>
                <w:lang w:eastAsia="ja-JP"/>
              </w:rPr>
              <w:t>Estados Unidos</w:t>
            </w:r>
            <w:r>
              <w:rPr>
                <w:rFonts w:ascii="Arial" w:eastAsia="MS PGothic" w:hAnsi="Arial" w:cs="Arial"/>
                <w:color w:val="000000"/>
                <w:sz w:val="20"/>
                <w:lang w:eastAsia="ja-JP"/>
              </w:rPr>
              <w:t xml:space="preserve"> de América</w:t>
            </w:r>
            <w:r w:rsidRPr="009E4564">
              <w:rPr>
                <w:rFonts w:ascii="Arial" w:eastAsia="MS PGothic" w:hAnsi="Arial" w:cs="Arial"/>
                <w:color w:val="000000"/>
                <w:sz w:val="20"/>
                <w:lang w:eastAsia="ja-JP"/>
              </w:rPr>
              <w:t xml:space="preserve"> y los bonos emitidos por el Banco de México</w:t>
            </w:r>
          </w:p>
        </w:tc>
      </w:tr>
      <w:tr w:rsidR="00833D67" w:rsidRPr="009E4564" w14:paraId="107D4378" w14:textId="77777777" w:rsidTr="004A7786">
        <w:trPr>
          <w:trHeight w:val="46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D6181" w14:textId="77777777" w:rsidR="00833D67" w:rsidRPr="009E4564" w:rsidRDefault="00833D67" w:rsidP="00156196">
            <w:pPr>
              <w:pStyle w:val="02Bodytext"/>
              <w:spacing w:after="0" w:line="240" w:lineRule="auto"/>
              <w:rPr>
                <w:rFonts w:cs="Arial"/>
                <w:b/>
                <w:sz w:val="20"/>
                <w:szCs w:val="22"/>
                <w:lang w:val="es-MX"/>
              </w:rPr>
            </w:pPr>
            <w:r w:rsidRPr="009E4564">
              <w:rPr>
                <w:rFonts w:cs="Arial"/>
                <w:b/>
                <w:sz w:val="20"/>
                <w:szCs w:val="22"/>
                <w:lang w:val="es-MX"/>
              </w:rPr>
              <w:t>Frecuencia: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026F85" w14:textId="77777777" w:rsidR="00833D67" w:rsidRPr="009E4564" w:rsidRDefault="00833D67" w:rsidP="00156196">
            <w:pPr>
              <w:pStyle w:val="02Bodytext"/>
              <w:spacing w:after="0" w:line="240" w:lineRule="auto"/>
              <w:jc w:val="both"/>
              <w:rPr>
                <w:rFonts w:cs="Arial"/>
                <w:sz w:val="20"/>
                <w:szCs w:val="22"/>
                <w:lang w:val="es-MX"/>
              </w:rPr>
            </w:pPr>
            <w:r w:rsidRPr="009E4564">
              <w:rPr>
                <w:rFonts w:cs="Arial"/>
                <w:sz w:val="20"/>
                <w:szCs w:val="22"/>
                <w:lang w:val="es-MX"/>
              </w:rPr>
              <w:t>Diaria</w:t>
            </w:r>
          </w:p>
        </w:tc>
      </w:tr>
      <w:tr w:rsidR="00833D67" w:rsidRPr="00CE4960" w14:paraId="0474FA5D" w14:textId="77777777" w:rsidTr="004A7786">
        <w:trPr>
          <w:trHeight w:val="598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219B4" w14:textId="77777777" w:rsidR="00833D67" w:rsidRPr="009E4564" w:rsidRDefault="00833D67" w:rsidP="00156196">
            <w:pPr>
              <w:pStyle w:val="02Bodytext"/>
              <w:spacing w:after="0" w:line="240" w:lineRule="auto"/>
              <w:rPr>
                <w:rFonts w:cs="Arial"/>
                <w:b/>
                <w:sz w:val="20"/>
                <w:szCs w:val="22"/>
                <w:lang w:val="es-MX"/>
              </w:rPr>
            </w:pPr>
            <w:r w:rsidRPr="009E4564">
              <w:rPr>
                <w:rFonts w:cs="Arial"/>
                <w:b/>
                <w:sz w:val="20"/>
                <w:szCs w:val="22"/>
                <w:lang w:val="es-MX"/>
              </w:rPr>
              <w:t>Nombre del Indicador: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F0D053" w14:textId="77777777" w:rsidR="00833D67" w:rsidRPr="009E4564" w:rsidRDefault="00833D67" w:rsidP="00156196">
            <w:pPr>
              <w:pStyle w:val="02Bodytext"/>
              <w:spacing w:after="0" w:line="240" w:lineRule="auto"/>
              <w:jc w:val="both"/>
              <w:rPr>
                <w:rFonts w:cs="Arial"/>
                <w:i/>
                <w:sz w:val="20"/>
                <w:szCs w:val="22"/>
                <w:lang w:val="en-US"/>
              </w:rPr>
            </w:pPr>
            <w:r w:rsidRPr="009E4564">
              <w:rPr>
                <w:rFonts w:cs="Arial"/>
                <w:i/>
                <w:sz w:val="20"/>
                <w:szCs w:val="22"/>
                <w:lang w:val="en-US"/>
              </w:rPr>
              <w:t>JPM EMBI+ MEXICO - STRIPPED SPREAD</w:t>
            </w:r>
          </w:p>
        </w:tc>
      </w:tr>
      <w:tr w:rsidR="00833D67" w:rsidRPr="009E4564" w14:paraId="4A2BAF0C" w14:textId="77777777" w:rsidTr="004A7786">
        <w:trPr>
          <w:trHeight w:val="461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57F27" w14:textId="5A4392B6" w:rsidR="00833D67" w:rsidRPr="009E4564" w:rsidRDefault="00D6192C" w:rsidP="00156196">
            <w:pPr>
              <w:pStyle w:val="02Bodytext"/>
              <w:spacing w:after="0" w:line="240" w:lineRule="auto"/>
              <w:rPr>
                <w:rFonts w:cs="Arial"/>
                <w:b/>
                <w:sz w:val="20"/>
                <w:szCs w:val="22"/>
                <w:lang w:val="en-US"/>
              </w:rPr>
            </w:pPr>
            <w:r w:rsidRPr="009E4564">
              <w:rPr>
                <w:rFonts w:cs="Arial"/>
                <w:b/>
                <w:sz w:val="20"/>
                <w:szCs w:val="22"/>
                <w:lang w:val="en-US"/>
              </w:rPr>
              <w:t>Codigo</w:t>
            </w:r>
            <w:r w:rsidR="00833D67" w:rsidRPr="009E4564">
              <w:rPr>
                <w:rFonts w:cs="Arial"/>
                <w:b/>
                <w:sz w:val="20"/>
                <w:szCs w:val="22"/>
                <w:lang w:val="en-US"/>
              </w:rPr>
              <w:t>: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CBF1" w14:textId="77777777" w:rsidR="00833D67" w:rsidRPr="009E4564" w:rsidRDefault="00833D67" w:rsidP="00156196">
            <w:pPr>
              <w:pStyle w:val="02Bodytext"/>
              <w:spacing w:after="0" w:line="240" w:lineRule="auto"/>
              <w:jc w:val="both"/>
              <w:rPr>
                <w:rFonts w:cs="Arial"/>
                <w:i/>
                <w:sz w:val="20"/>
                <w:szCs w:val="22"/>
                <w:lang w:val="en-US"/>
              </w:rPr>
            </w:pPr>
            <w:r w:rsidRPr="009E4564">
              <w:rPr>
                <w:rFonts w:cs="Arial"/>
                <w:i/>
                <w:sz w:val="20"/>
                <w:szCs w:val="22"/>
                <w:lang w:val="en-US"/>
              </w:rPr>
              <w:t>JPMEPMEX (STRIPPED SPREAD)</w:t>
            </w:r>
          </w:p>
        </w:tc>
      </w:tr>
    </w:tbl>
    <w:p w14:paraId="08E738AD" w14:textId="77777777" w:rsidR="00833D67" w:rsidRPr="004835A0" w:rsidRDefault="00833D67" w:rsidP="00833D67">
      <w:pPr>
        <w:spacing w:after="0" w:line="240" w:lineRule="auto"/>
        <w:rPr>
          <w:lang w:val="en-US"/>
        </w:rPr>
      </w:pPr>
    </w:p>
    <w:p w14:paraId="291E92F6" w14:textId="7D94C1F1" w:rsidR="00833D67" w:rsidRDefault="00833D67" w:rsidP="009E4564">
      <w:pPr>
        <w:pStyle w:val="Prrafodelista"/>
        <w:spacing w:after="0" w:line="240" w:lineRule="auto"/>
        <w:ind w:left="0" w:right="4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a lo anterior, se llevó a cabo el siguiente procedimiento para la determinación del riesgo-país:</w:t>
      </w:r>
    </w:p>
    <w:p w14:paraId="11717517" w14:textId="48A5A8DB" w:rsidR="004A2EA8" w:rsidRDefault="004A2EA8" w:rsidP="009E4564">
      <w:pPr>
        <w:pStyle w:val="Prrafodelista"/>
        <w:spacing w:after="0" w:line="240" w:lineRule="auto"/>
        <w:ind w:left="0" w:right="4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64BA790" w14:textId="68BE1646" w:rsidR="004A2EA8" w:rsidRPr="004A2EA8" w:rsidRDefault="004A2EA8" w:rsidP="00156196">
      <w:pPr>
        <w:pStyle w:val="Prrafodelista"/>
        <w:numPr>
          <w:ilvl w:val="0"/>
          <w:numId w:val="6"/>
        </w:numPr>
        <w:spacing w:after="0" w:line="240" w:lineRule="auto"/>
        <w:ind w:right="49"/>
        <w:contextualSpacing w:val="0"/>
        <w:jc w:val="both"/>
        <w:rPr>
          <w:rFonts w:ascii="Arial" w:hAnsi="Arial" w:cs="Arial"/>
          <w:sz w:val="24"/>
          <w:szCs w:val="24"/>
        </w:rPr>
      </w:pPr>
      <w:r w:rsidRPr="004A2EA8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consultó</w:t>
      </w:r>
      <w:r w:rsidRPr="004A2EA8">
        <w:rPr>
          <w:rFonts w:ascii="Arial" w:hAnsi="Arial" w:cs="Arial"/>
          <w:sz w:val="24"/>
          <w:szCs w:val="24"/>
        </w:rPr>
        <w:t xml:space="preserve"> la serie J</w:t>
      </w:r>
      <w:r w:rsidRPr="004A2EA8">
        <w:rPr>
          <w:rFonts w:ascii="Arial" w:hAnsi="Arial" w:cs="Arial"/>
          <w:i/>
          <w:sz w:val="24"/>
          <w:szCs w:val="24"/>
        </w:rPr>
        <w:t>PMEPMEX</w:t>
      </w:r>
      <w:r w:rsidRPr="004A2EA8">
        <w:rPr>
          <w:rFonts w:ascii="Arial" w:hAnsi="Arial" w:cs="Arial"/>
          <w:sz w:val="24"/>
          <w:szCs w:val="24"/>
        </w:rPr>
        <w:t xml:space="preserve"> de </w:t>
      </w:r>
      <w:r w:rsidRPr="004A2EA8">
        <w:rPr>
          <w:rFonts w:ascii="Arial" w:hAnsi="Arial" w:cs="Arial"/>
          <w:i/>
          <w:sz w:val="24"/>
          <w:szCs w:val="24"/>
        </w:rPr>
        <w:t>Thomson Reuters Datastream</w:t>
      </w:r>
      <w:r w:rsidRPr="004A2EA8">
        <w:rPr>
          <w:rFonts w:ascii="Arial" w:hAnsi="Arial" w:cs="Arial"/>
          <w:sz w:val="24"/>
          <w:szCs w:val="24"/>
        </w:rPr>
        <w:t xml:space="preserve"> cuya frecuencia es diaria, su nombre de indicador es J</w:t>
      </w:r>
      <w:r w:rsidRPr="004A2EA8">
        <w:rPr>
          <w:rFonts w:ascii="Arial" w:hAnsi="Arial" w:cs="Arial"/>
          <w:i/>
          <w:sz w:val="24"/>
          <w:szCs w:val="24"/>
        </w:rPr>
        <w:t>PM EMBI+ MEXICO - STRIPPED SPREAD</w:t>
      </w:r>
      <w:r w:rsidRPr="004A2EA8">
        <w:rPr>
          <w:rFonts w:ascii="Arial" w:hAnsi="Arial" w:cs="Arial"/>
          <w:sz w:val="24"/>
          <w:szCs w:val="24"/>
        </w:rPr>
        <w:t xml:space="preserve"> y su código es </w:t>
      </w:r>
      <w:r w:rsidRPr="004A2EA8">
        <w:rPr>
          <w:rFonts w:ascii="Arial" w:hAnsi="Arial" w:cs="Arial"/>
          <w:i/>
          <w:sz w:val="24"/>
          <w:szCs w:val="24"/>
        </w:rPr>
        <w:t>JPMEPMEX (STRIPPED SPREAD)</w:t>
      </w:r>
      <w:r>
        <w:rPr>
          <w:rFonts w:ascii="Arial" w:hAnsi="Arial" w:cs="Arial"/>
          <w:sz w:val="24"/>
          <w:szCs w:val="24"/>
        </w:rPr>
        <w:t>.</w:t>
      </w:r>
    </w:p>
    <w:p w14:paraId="0B3E5F4B" w14:textId="77777777" w:rsidR="004A2EA8" w:rsidRDefault="004A2EA8" w:rsidP="004A2EA8">
      <w:pPr>
        <w:pStyle w:val="Prrafodelista"/>
        <w:spacing w:after="0" w:line="240" w:lineRule="auto"/>
        <w:ind w:right="4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4588279C" w14:textId="478D1889" w:rsidR="004A2EA8" w:rsidRDefault="004A2EA8" w:rsidP="00156196">
      <w:pPr>
        <w:pStyle w:val="Prrafodelista"/>
        <w:numPr>
          <w:ilvl w:val="0"/>
          <w:numId w:val="6"/>
        </w:numPr>
        <w:spacing w:after="0" w:line="240" w:lineRule="auto"/>
        <w:ind w:right="4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obtuvieron los siguientes datos </w:t>
      </w:r>
      <w:r w:rsidR="00D6192C">
        <w:rPr>
          <w:rFonts w:ascii="Arial" w:hAnsi="Arial" w:cs="Arial"/>
          <w:sz w:val="24"/>
          <w:szCs w:val="24"/>
        </w:rPr>
        <w:t xml:space="preserve">para el periodo comprendido entre </w:t>
      </w:r>
      <w:r>
        <w:rPr>
          <w:rFonts w:ascii="Arial" w:hAnsi="Arial" w:cs="Arial"/>
          <w:sz w:val="24"/>
          <w:szCs w:val="24"/>
        </w:rPr>
        <w:t xml:space="preserve">el </w:t>
      </w:r>
      <w:r w:rsidR="00E163F1">
        <w:rPr>
          <w:rFonts w:ascii="Arial" w:hAnsi="Arial" w:cs="Arial"/>
          <w:b/>
          <w:sz w:val="24"/>
          <w:szCs w:val="24"/>
        </w:rPr>
        <w:t>1</w:t>
      </w:r>
      <w:r w:rsidR="00B23FDF">
        <w:rPr>
          <w:rFonts w:ascii="Arial" w:hAnsi="Arial" w:cs="Arial"/>
          <w:b/>
          <w:sz w:val="24"/>
          <w:szCs w:val="24"/>
        </w:rPr>
        <w:t xml:space="preserve"> de </w:t>
      </w:r>
      <w:r w:rsidR="00E163F1">
        <w:rPr>
          <w:rFonts w:ascii="Arial" w:hAnsi="Arial" w:cs="Arial"/>
          <w:b/>
          <w:sz w:val="24"/>
          <w:szCs w:val="24"/>
        </w:rPr>
        <w:t xml:space="preserve">abril </w:t>
      </w:r>
      <w:r w:rsidR="00B23FDF">
        <w:rPr>
          <w:rFonts w:ascii="Arial" w:hAnsi="Arial" w:cs="Arial"/>
          <w:b/>
          <w:sz w:val="24"/>
          <w:szCs w:val="24"/>
        </w:rPr>
        <w:t xml:space="preserve">del 2009 </w:t>
      </w:r>
      <w:r w:rsidR="00D6192C">
        <w:rPr>
          <w:rFonts w:ascii="Arial" w:hAnsi="Arial" w:cs="Arial"/>
          <w:b/>
          <w:sz w:val="24"/>
          <w:szCs w:val="24"/>
        </w:rPr>
        <w:t>y el</w:t>
      </w:r>
      <w:r w:rsidR="00B23FDF">
        <w:rPr>
          <w:rFonts w:ascii="Arial" w:hAnsi="Arial" w:cs="Arial"/>
          <w:b/>
          <w:sz w:val="24"/>
          <w:szCs w:val="24"/>
        </w:rPr>
        <w:t xml:space="preserve"> 29</w:t>
      </w:r>
      <w:r w:rsidRPr="005B3EB1">
        <w:rPr>
          <w:rFonts w:ascii="Arial" w:hAnsi="Arial" w:cs="Arial"/>
          <w:b/>
          <w:sz w:val="24"/>
          <w:szCs w:val="24"/>
        </w:rPr>
        <w:t xml:space="preserve"> de </w:t>
      </w:r>
      <w:r w:rsidR="00B23FDF">
        <w:rPr>
          <w:rFonts w:ascii="Arial" w:hAnsi="Arial" w:cs="Arial"/>
          <w:b/>
          <w:sz w:val="24"/>
          <w:szCs w:val="24"/>
        </w:rPr>
        <w:t>marzo</w:t>
      </w:r>
      <w:r w:rsidRPr="005B3EB1">
        <w:rPr>
          <w:rFonts w:ascii="Arial" w:hAnsi="Arial" w:cs="Arial"/>
          <w:b/>
          <w:sz w:val="24"/>
          <w:szCs w:val="24"/>
        </w:rPr>
        <w:t xml:space="preserve"> del 2019</w:t>
      </w:r>
      <w:r w:rsidR="00205F5C">
        <w:rPr>
          <w:rFonts w:ascii="Arial" w:hAnsi="Arial" w:cs="Arial"/>
          <w:sz w:val="24"/>
          <w:szCs w:val="24"/>
        </w:rPr>
        <w:t>.</w:t>
      </w:r>
    </w:p>
    <w:p w14:paraId="6892DBE2" w14:textId="77777777" w:rsidR="004B77C7" w:rsidRPr="004A7786" w:rsidRDefault="004B77C7" w:rsidP="004A7786">
      <w:pPr>
        <w:rPr>
          <w:rFonts w:ascii="Arial" w:hAnsi="Arial" w:cs="Arial"/>
          <w:sz w:val="24"/>
          <w:szCs w:val="24"/>
        </w:rPr>
        <w:sectPr w:rsidR="004B77C7" w:rsidRPr="004A7786" w:rsidSect="002454D5">
          <w:pgSz w:w="12240" w:h="15840"/>
          <w:pgMar w:top="1985" w:right="1701" w:bottom="1135" w:left="1985" w:header="709" w:footer="709" w:gutter="0"/>
          <w:cols w:space="708"/>
          <w:titlePg/>
          <w:docGrid w:linePitch="360"/>
        </w:sectPr>
      </w:pPr>
    </w:p>
    <w:p w14:paraId="3C5F87F3" w14:textId="09F9764B" w:rsidR="00886E19" w:rsidRDefault="00886E19" w:rsidP="004A2EA8">
      <w:pPr>
        <w:pStyle w:val="Prrafodelista"/>
        <w:spacing w:after="0" w:line="240" w:lineRule="auto"/>
        <w:ind w:left="0" w:right="4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1DE9929" w14:textId="1A950CEB" w:rsidR="00B23FDF" w:rsidRDefault="00B23FDF" w:rsidP="00886E19">
      <w:pPr>
        <w:pStyle w:val="Prrafodelista"/>
        <w:spacing w:after="0" w:line="240" w:lineRule="auto"/>
        <w:ind w:left="0" w:right="49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14:paraId="753F43FC" w14:textId="2AEDEA10" w:rsidR="00B23FDF" w:rsidRPr="004A2EA8" w:rsidRDefault="00B23FDF" w:rsidP="00B23FDF">
      <w:pPr>
        <w:pStyle w:val="Prrafodelista"/>
        <w:numPr>
          <w:ilvl w:val="0"/>
          <w:numId w:val="8"/>
        </w:numPr>
        <w:spacing w:after="0" w:line="240" w:lineRule="auto"/>
        <w:ind w:right="4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reemplazaron dichos datos en la siguiente ecuación</w:t>
      </w:r>
      <w:r w:rsidR="00E4540E">
        <w:rPr>
          <w:rFonts w:ascii="Arial" w:hAnsi="Arial" w:cs="Arial"/>
          <w:sz w:val="24"/>
          <w:szCs w:val="24"/>
        </w:rPr>
        <w:t>, la cual se encuentra</w:t>
      </w:r>
      <w:r>
        <w:rPr>
          <w:rFonts w:ascii="Arial" w:hAnsi="Arial" w:cs="Arial"/>
          <w:sz w:val="24"/>
          <w:szCs w:val="24"/>
        </w:rPr>
        <w:t xml:space="preserve"> establecida en el Anexo II de las Disposiciones:</w:t>
      </w:r>
    </w:p>
    <w:p w14:paraId="172009D1" w14:textId="77777777" w:rsidR="00B23FDF" w:rsidRDefault="00B23FDF" w:rsidP="00B23FDF">
      <w:pPr>
        <w:pStyle w:val="Prrafodelista"/>
        <w:spacing w:after="0" w:line="240" w:lineRule="auto"/>
        <w:ind w:left="0" w:right="4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432566B9" w14:textId="77777777" w:rsidR="00B23FDF" w:rsidRPr="004A2EA8" w:rsidRDefault="0043103B" w:rsidP="00B23FDF">
      <w:pPr>
        <w:spacing w:after="0" w:line="240" w:lineRule="auto"/>
        <w:ind w:right="49"/>
        <w:jc w:val="both"/>
        <w:rPr>
          <w:rFonts w:ascii="Arial" w:eastAsiaTheme="minorEastAsia" w:hAnsi="Arial" w:cs="Arial"/>
          <w:sz w:val="32"/>
          <w:szCs w:val="32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sz w:val="32"/>
                  <w:szCs w:val="32"/>
                </w:rPr>
                <m:t>r</m:t>
              </m:r>
            </m:e>
            <m:sub>
              <m:r>
                <w:rPr>
                  <w:rFonts w:ascii="Cambria Math" w:hAnsi="Cambria Math" w:cs="Arial"/>
                  <w:sz w:val="32"/>
                  <w:szCs w:val="32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sz w:val="32"/>
                  <w:szCs w:val="32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2"/>
                      <w:szCs w:val="32"/>
                    </w:rPr>
                    <m:t>=1</m:t>
                  </m:r>
                </m:sub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 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Arial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Arial"/>
                  <w:sz w:val="32"/>
                  <w:szCs w:val="32"/>
                </w:rPr>
                <m:t>n</m:t>
              </m:r>
            </m:den>
          </m:f>
        </m:oMath>
      </m:oMathPara>
    </w:p>
    <w:p w14:paraId="0CE2B235" w14:textId="77777777" w:rsidR="00B23FDF" w:rsidRDefault="00B23FDF" w:rsidP="00B23FDF">
      <w:pPr>
        <w:spacing w:after="0" w:line="240" w:lineRule="auto"/>
        <w:ind w:right="49"/>
        <w:jc w:val="both"/>
        <w:rPr>
          <w:rFonts w:ascii="Arial" w:eastAsiaTheme="minorEastAsia" w:hAnsi="Arial" w:cs="Arial"/>
          <w:sz w:val="32"/>
          <w:szCs w:val="32"/>
        </w:rPr>
      </w:pPr>
    </w:p>
    <w:p w14:paraId="6FDB5D6A" w14:textId="4815E9B5" w:rsidR="00B23FDF" w:rsidRPr="009E4564" w:rsidRDefault="0043103B" w:rsidP="00B23FDF">
      <w:pPr>
        <w:spacing w:after="0" w:line="240" w:lineRule="auto"/>
        <w:ind w:right="49"/>
        <w:jc w:val="both"/>
        <w:rPr>
          <w:rFonts w:ascii="Arial" w:hAnsi="Arial" w:cs="Arial"/>
          <w:sz w:val="32"/>
          <w:szCs w:val="32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sz w:val="32"/>
                  <w:szCs w:val="32"/>
                </w:rPr>
                <m:t>r</m:t>
              </m:r>
            </m:e>
            <m:sub>
              <m:r>
                <w:rPr>
                  <w:rFonts w:ascii="Cambria Math" w:hAnsi="Cambria Math" w:cs="Arial"/>
                  <w:sz w:val="32"/>
                  <w:szCs w:val="32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sz w:val="32"/>
                  <w:szCs w:val="32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2"/>
                      <w:szCs w:val="32"/>
                    </w:rPr>
                    <m:t>=1</m:t>
                  </m:r>
                </m:sub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2444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 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2"/>
                      <w:szCs w:val="32"/>
                    </w:rPr>
                    <m:t>[374+335+…+204+206]</m:t>
                  </m:r>
                </m:e>
              </m:nary>
            </m:num>
            <m:den>
              <m:r>
                <w:rPr>
                  <w:rFonts w:ascii="Cambria Math" w:hAnsi="Cambria Math" w:cs="Arial"/>
                  <w:sz w:val="32"/>
                  <w:szCs w:val="32"/>
                </w:rPr>
                <m:t>2444</m:t>
              </m:r>
            </m:den>
          </m:f>
        </m:oMath>
      </m:oMathPara>
    </w:p>
    <w:p w14:paraId="4D9B9442" w14:textId="77777777" w:rsidR="00B23FDF" w:rsidRPr="009E4564" w:rsidRDefault="00B23FDF" w:rsidP="00B23FDF">
      <w:pPr>
        <w:spacing w:after="0" w:line="240" w:lineRule="auto"/>
        <w:ind w:right="49"/>
        <w:jc w:val="both"/>
        <w:rPr>
          <w:rFonts w:ascii="Arial" w:hAnsi="Arial" w:cs="Arial"/>
          <w:sz w:val="32"/>
          <w:szCs w:val="32"/>
        </w:rPr>
      </w:pPr>
    </w:p>
    <w:p w14:paraId="64937F6A" w14:textId="08936677" w:rsidR="00B23FDF" w:rsidRPr="00886E19" w:rsidRDefault="0043103B" w:rsidP="00B23FDF">
      <w:pPr>
        <w:pStyle w:val="Prrafodelista"/>
        <w:spacing w:after="0" w:line="240" w:lineRule="auto"/>
        <w:ind w:left="0" w:right="49"/>
        <w:contextualSpacing w:val="0"/>
        <w:jc w:val="both"/>
        <w:rPr>
          <w:rFonts w:eastAsiaTheme="minorEastAsia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sz w:val="32"/>
                  <w:szCs w:val="32"/>
                </w:rPr>
                <m:t>r</m:t>
              </m:r>
            </m:e>
            <m:sub>
              <m:r>
                <w:rPr>
                  <w:rFonts w:ascii="Cambria Math" w:hAnsi="Cambria Math" w:cs="Arial"/>
                  <w:sz w:val="32"/>
                  <w:szCs w:val="32"/>
                </w:rPr>
                <m:t>p</m:t>
              </m:r>
            </m:sub>
          </m:sSub>
          <m:r>
            <w:rPr>
              <w:rFonts w:ascii="Cambria Math" w:hAnsi="Cambria Math" w:cs="Arial"/>
              <w:sz w:val="32"/>
              <w:szCs w:val="32"/>
            </w:rPr>
            <m:t>=184.1006</m:t>
          </m:r>
        </m:oMath>
      </m:oMathPara>
    </w:p>
    <w:p w14:paraId="098C04BD" w14:textId="7D4FC41D" w:rsidR="00B23FDF" w:rsidRDefault="00B23FDF" w:rsidP="00B23FDF">
      <w:pPr>
        <w:pStyle w:val="Prrafodelista"/>
        <w:spacing w:after="0" w:line="240" w:lineRule="auto"/>
        <w:ind w:left="0" w:right="49"/>
        <w:contextualSpacing w:val="0"/>
        <w:jc w:val="both"/>
        <w:rPr>
          <w:rFonts w:eastAsiaTheme="minorEastAsia"/>
          <w:sz w:val="32"/>
          <w:szCs w:val="32"/>
        </w:rPr>
      </w:pPr>
    </w:p>
    <w:p w14:paraId="78239487" w14:textId="77777777" w:rsidR="00AE5C02" w:rsidRDefault="00AE5C02" w:rsidP="00B23FDF">
      <w:pPr>
        <w:pStyle w:val="Prrafodelista"/>
        <w:spacing w:after="0" w:line="240" w:lineRule="auto"/>
        <w:ind w:left="0" w:right="49"/>
        <w:contextualSpacing w:val="0"/>
        <w:jc w:val="both"/>
        <w:rPr>
          <w:rFonts w:eastAsiaTheme="minorEastAsia"/>
          <w:sz w:val="32"/>
          <w:szCs w:val="32"/>
        </w:rPr>
      </w:pPr>
    </w:p>
    <w:p w14:paraId="05A6B887" w14:textId="49860363" w:rsidR="00AE5C02" w:rsidRPr="004A7786" w:rsidRDefault="00AE5C02" w:rsidP="00B23FDF">
      <w:pPr>
        <w:pStyle w:val="Prrafodelista"/>
        <w:spacing w:after="0" w:line="240" w:lineRule="auto"/>
        <w:ind w:left="0" w:right="49"/>
        <w:contextualSpacing w:val="0"/>
        <w:jc w:val="both"/>
        <w:rPr>
          <w:rFonts w:ascii="Arial" w:eastAsiaTheme="minorEastAsia" w:hAnsi="Arial" w:cs="Arial"/>
          <w:sz w:val="24"/>
          <w:szCs w:val="32"/>
        </w:rPr>
      </w:pPr>
      <w:r w:rsidRPr="004A7786">
        <w:rPr>
          <w:rFonts w:ascii="Arial" w:eastAsiaTheme="minorEastAsia" w:hAnsi="Arial" w:cs="Arial"/>
          <w:sz w:val="24"/>
          <w:szCs w:val="32"/>
        </w:rPr>
        <w:t>En términos porcentuales:</w:t>
      </w:r>
    </w:p>
    <w:p w14:paraId="353CCB4D" w14:textId="77777777" w:rsidR="00AE5C02" w:rsidRDefault="00AE5C02" w:rsidP="00B23FDF">
      <w:pPr>
        <w:pStyle w:val="Prrafodelista"/>
        <w:spacing w:after="0" w:line="240" w:lineRule="auto"/>
        <w:ind w:left="0" w:right="49"/>
        <w:contextualSpacing w:val="0"/>
        <w:jc w:val="both"/>
        <w:rPr>
          <w:rFonts w:eastAsiaTheme="minorEastAsia"/>
          <w:sz w:val="32"/>
          <w:szCs w:val="32"/>
        </w:rPr>
      </w:pPr>
    </w:p>
    <w:p w14:paraId="693DC919" w14:textId="18B4D94F" w:rsidR="00AE5C02" w:rsidRDefault="0043103B" w:rsidP="00B23FDF">
      <w:pPr>
        <w:pStyle w:val="Prrafodelista"/>
        <w:spacing w:after="0" w:line="240" w:lineRule="auto"/>
        <w:ind w:left="0" w:right="49"/>
        <w:contextualSpacing w:val="0"/>
        <w:jc w:val="both"/>
        <w:rPr>
          <w:rFonts w:eastAsiaTheme="minorEastAsia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sz w:val="32"/>
                  <w:szCs w:val="32"/>
                </w:rPr>
                <m:t>r</m:t>
              </m:r>
            </m:e>
            <m:sub>
              <m:r>
                <w:rPr>
                  <w:rFonts w:ascii="Cambria Math" w:hAnsi="Cambria Math" w:cs="Arial"/>
                  <w:sz w:val="32"/>
                  <w:szCs w:val="32"/>
                </w:rPr>
                <m:t>p</m:t>
              </m:r>
            </m:sub>
          </m:sSub>
          <m:r>
            <w:rPr>
              <w:rFonts w:ascii="Cambria Math" w:hAnsi="Cambria Math" w:cs="Arial"/>
              <w:sz w:val="32"/>
              <w:szCs w:val="32"/>
            </w:rPr>
            <m:t>=1.84</m:t>
          </m:r>
        </m:oMath>
      </m:oMathPara>
    </w:p>
    <w:p w14:paraId="631D4725" w14:textId="77777777" w:rsidR="00B23FDF" w:rsidRPr="00886E19" w:rsidRDefault="00B23FDF" w:rsidP="00B23FDF">
      <w:pPr>
        <w:pStyle w:val="Prrafodelista"/>
        <w:spacing w:after="0" w:line="240" w:lineRule="auto"/>
        <w:ind w:left="0" w:right="49"/>
        <w:contextualSpacing w:val="0"/>
        <w:rPr>
          <w:rFonts w:ascii="Arial" w:hAnsi="Arial" w:cs="Arial"/>
          <w:b/>
          <w:sz w:val="24"/>
          <w:szCs w:val="24"/>
        </w:rPr>
      </w:pPr>
    </w:p>
    <w:sectPr w:rsidR="00B23FDF" w:rsidRPr="00886E19" w:rsidSect="00032DEA">
      <w:type w:val="continuous"/>
      <w:pgSz w:w="12240" w:h="15840"/>
      <w:pgMar w:top="1985" w:right="1701" w:bottom="113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F8C90" w14:textId="77777777" w:rsidR="0043103B" w:rsidRDefault="0043103B" w:rsidP="007F1C69">
      <w:pPr>
        <w:spacing w:after="0" w:line="240" w:lineRule="auto"/>
      </w:pPr>
      <w:r>
        <w:separator/>
      </w:r>
    </w:p>
  </w:endnote>
  <w:endnote w:type="continuationSeparator" w:id="0">
    <w:p w14:paraId="690557F0" w14:textId="77777777" w:rsidR="0043103B" w:rsidRDefault="0043103B" w:rsidP="007F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utigerNextPro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1C190" w14:textId="77777777" w:rsidR="0043103B" w:rsidRDefault="0043103B" w:rsidP="007F1C69">
      <w:pPr>
        <w:spacing w:after="0" w:line="240" w:lineRule="auto"/>
      </w:pPr>
      <w:r>
        <w:separator/>
      </w:r>
    </w:p>
  </w:footnote>
  <w:footnote w:type="continuationSeparator" w:id="0">
    <w:p w14:paraId="0A845249" w14:textId="77777777" w:rsidR="0043103B" w:rsidRDefault="0043103B" w:rsidP="007F1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6744"/>
    <w:multiLevelType w:val="hybridMultilevel"/>
    <w:tmpl w:val="D9C882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05A9B"/>
    <w:multiLevelType w:val="hybridMultilevel"/>
    <w:tmpl w:val="D87E0E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C5237"/>
    <w:multiLevelType w:val="hybridMultilevel"/>
    <w:tmpl w:val="C414D3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D75E2"/>
    <w:multiLevelType w:val="multilevel"/>
    <w:tmpl w:val="C6B45E26"/>
    <w:lvl w:ilvl="0">
      <w:start w:val="1"/>
      <w:numFmt w:val="upperRoman"/>
      <w:pStyle w:val="Ttulo1"/>
      <w:lvlText w:val="%1."/>
      <w:lvlJc w:val="right"/>
      <w:pPr>
        <w:ind w:left="432" w:hanging="432"/>
      </w:pPr>
      <w:rPr>
        <w:b/>
      </w:rPr>
    </w:lvl>
    <w:lvl w:ilvl="1">
      <w:start w:val="1"/>
      <w:numFmt w:val="decimal"/>
      <w:pStyle w:val="Ttulo2"/>
      <w:lvlText w:val="%1.%2"/>
      <w:lvlJc w:val="left"/>
      <w:pPr>
        <w:ind w:left="2196" w:hanging="576"/>
      </w:pPr>
      <w:rPr>
        <w:rFonts w:ascii="Arial Narrow" w:hAnsi="Arial Narrow"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2790" w:hanging="720"/>
      </w:pPr>
      <w:rPr>
        <w:rFonts w:ascii="Arial Narrow" w:hAnsi="Arial Narrow" w:hint="default"/>
        <w:b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9CA2C96"/>
    <w:multiLevelType w:val="hybridMultilevel"/>
    <w:tmpl w:val="4FF6E38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F14E9"/>
    <w:multiLevelType w:val="hybridMultilevel"/>
    <w:tmpl w:val="7826B01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00D86"/>
    <w:multiLevelType w:val="hybridMultilevel"/>
    <w:tmpl w:val="D9C882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2F"/>
    <w:rsid w:val="00024D8A"/>
    <w:rsid w:val="00032AAD"/>
    <w:rsid w:val="00032DEA"/>
    <w:rsid w:val="0003428D"/>
    <w:rsid w:val="00034F39"/>
    <w:rsid w:val="00037113"/>
    <w:rsid w:val="000446FF"/>
    <w:rsid w:val="00055656"/>
    <w:rsid w:val="000C5F02"/>
    <w:rsid w:val="00132BD5"/>
    <w:rsid w:val="00155771"/>
    <w:rsid w:val="00156196"/>
    <w:rsid w:val="001C1C90"/>
    <w:rsid w:val="00205F5C"/>
    <w:rsid w:val="00207988"/>
    <w:rsid w:val="00211C5A"/>
    <w:rsid w:val="00211D18"/>
    <w:rsid w:val="002454D5"/>
    <w:rsid w:val="00253798"/>
    <w:rsid w:val="002A6FED"/>
    <w:rsid w:val="002C19D4"/>
    <w:rsid w:val="002E1854"/>
    <w:rsid w:val="002F5D8B"/>
    <w:rsid w:val="003018E2"/>
    <w:rsid w:val="00333161"/>
    <w:rsid w:val="00344327"/>
    <w:rsid w:val="00387510"/>
    <w:rsid w:val="00392737"/>
    <w:rsid w:val="003B0C69"/>
    <w:rsid w:val="003B112C"/>
    <w:rsid w:val="003B7153"/>
    <w:rsid w:val="003F5744"/>
    <w:rsid w:val="00417D05"/>
    <w:rsid w:val="0043103B"/>
    <w:rsid w:val="004835A0"/>
    <w:rsid w:val="004865B9"/>
    <w:rsid w:val="004A2EA8"/>
    <w:rsid w:val="004A7786"/>
    <w:rsid w:val="004B77C7"/>
    <w:rsid w:val="00517495"/>
    <w:rsid w:val="005B3EB1"/>
    <w:rsid w:val="005D7EC3"/>
    <w:rsid w:val="00604907"/>
    <w:rsid w:val="006070B9"/>
    <w:rsid w:val="00626DC3"/>
    <w:rsid w:val="00643E6F"/>
    <w:rsid w:val="00664D88"/>
    <w:rsid w:val="006827F2"/>
    <w:rsid w:val="006E7E90"/>
    <w:rsid w:val="0073473D"/>
    <w:rsid w:val="007531A3"/>
    <w:rsid w:val="00792662"/>
    <w:rsid w:val="007A24DA"/>
    <w:rsid w:val="007B2EAC"/>
    <w:rsid w:val="007B613C"/>
    <w:rsid w:val="007F1C69"/>
    <w:rsid w:val="007F581E"/>
    <w:rsid w:val="007F60BB"/>
    <w:rsid w:val="0080174D"/>
    <w:rsid w:val="00804C1E"/>
    <w:rsid w:val="00833D67"/>
    <w:rsid w:val="00872D60"/>
    <w:rsid w:val="00886E19"/>
    <w:rsid w:val="008F6016"/>
    <w:rsid w:val="00901DF0"/>
    <w:rsid w:val="00911850"/>
    <w:rsid w:val="00952808"/>
    <w:rsid w:val="00974837"/>
    <w:rsid w:val="009C642E"/>
    <w:rsid w:val="009E4564"/>
    <w:rsid w:val="009E4F83"/>
    <w:rsid w:val="00A363E7"/>
    <w:rsid w:val="00A4336C"/>
    <w:rsid w:val="00A52AA9"/>
    <w:rsid w:val="00A55689"/>
    <w:rsid w:val="00AB1C6F"/>
    <w:rsid w:val="00AC0A41"/>
    <w:rsid w:val="00AD591B"/>
    <w:rsid w:val="00AE5C02"/>
    <w:rsid w:val="00B00800"/>
    <w:rsid w:val="00B04CEE"/>
    <w:rsid w:val="00B210B2"/>
    <w:rsid w:val="00B23FDF"/>
    <w:rsid w:val="00B2773B"/>
    <w:rsid w:val="00B66681"/>
    <w:rsid w:val="00B67FF4"/>
    <w:rsid w:val="00BF582A"/>
    <w:rsid w:val="00C10997"/>
    <w:rsid w:val="00C5570E"/>
    <w:rsid w:val="00C85DC7"/>
    <w:rsid w:val="00C9430B"/>
    <w:rsid w:val="00D05428"/>
    <w:rsid w:val="00D1592D"/>
    <w:rsid w:val="00D36B2F"/>
    <w:rsid w:val="00D6192C"/>
    <w:rsid w:val="00D65009"/>
    <w:rsid w:val="00DD0A07"/>
    <w:rsid w:val="00DF445F"/>
    <w:rsid w:val="00E101B9"/>
    <w:rsid w:val="00E163F1"/>
    <w:rsid w:val="00E2547E"/>
    <w:rsid w:val="00E44275"/>
    <w:rsid w:val="00E4540E"/>
    <w:rsid w:val="00E467DC"/>
    <w:rsid w:val="00E53BB6"/>
    <w:rsid w:val="00E700CC"/>
    <w:rsid w:val="00EB623A"/>
    <w:rsid w:val="00EE0C5F"/>
    <w:rsid w:val="00F92EAE"/>
    <w:rsid w:val="00FA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FAA63"/>
  <w15:chartTrackingRefBased/>
  <w15:docId w15:val="{F895F1AB-E0A5-4855-8DCF-67947815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B2F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D36B2F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unhideWhenUsed/>
    <w:qFormat/>
    <w:rsid w:val="00D36B2F"/>
    <w:pPr>
      <w:keepNext/>
      <w:numPr>
        <w:ilvl w:val="1"/>
        <w:numId w:val="1"/>
      </w:numPr>
      <w:snapToGrid w:val="0"/>
      <w:spacing w:after="0" w:line="240" w:lineRule="auto"/>
      <w:ind w:right="48"/>
      <w:jc w:val="both"/>
      <w:outlineLvl w:val="1"/>
    </w:pPr>
    <w:rPr>
      <w:rFonts w:ascii="Arial" w:hAnsi="Arial" w:cs="Arial"/>
      <w:b/>
      <w:bCs/>
      <w:sz w:val="20"/>
      <w:szCs w:val="20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36B2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36B2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36B2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36B2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36B2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36B2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36B2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36B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36B2F"/>
    <w:rPr>
      <w:rFonts w:ascii="Arial" w:hAnsi="Arial" w:cs="Arial"/>
      <w:b/>
      <w:bCs/>
      <w:sz w:val="20"/>
      <w:szCs w:val="20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D36B2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D36B2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36B2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36B2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36B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36B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36B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D36B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36B2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36B2F"/>
    <w:rPr>
      <w:sz w:val="20"/>
      <w:szCs w:val="20"/>
    </w:rPr>
  </w:style>
  <w:style w:type="table" w:styleId="Tablaconcuadrcula">
    <w:name w:val="Table Grid"/>
    <w:basedOn w:val="Tablanormal"/>
    <w:uiPriority w:val="59"/>
    <w:rsid w:val="00D3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3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aliases w:val="lp1,List Paragraph1,Lista vistosa - Énfasis 11,List Paragraph11,Bullet List,FooterText,numbered,Paragraphe de liste1,Bulletr List Paragraph,列出段落,列出段落1,Disposición,Resume Title,Citation List,Ha,List Paragraph_Table bullets,Listas,Dot pt"/>
    <w:basedOn w:val="Normal"/>
    <w:link w:val="PrrafodelistaCar"/>
    <w:uiPriority w:val="34"/>
    <w:qFormat/>
    <w:rsid w:val="00D36B2F"/>
    <w:pPr>
      <w:ind w:left="720"/>
      <w:contextualSpacing/>
    </w:pPr>
  </w:style>
  <w:style w:type="character" w:customStyle="1" w:styleId="PrrafodelistaCar">
    <w:name w:val="Párrafo de lista Car"/>
    <w:aliases w:val="lp1 Car,List Paragraph1 Car,Lista vistosa - Énfasis 11 Car,List Paragraph11 Car,Bullet List Car,FooterText Car,numbered Car,Paragraphe de liste1 Car,Bulletr List Paragraph Car,列出段落 Car,列出段落1 Car,Disposición Car,Resume Title Car"/>
    <w:basedOn w:val="Fuentedeprrafopredeter"/>
    <w:link w:val="Prrafodelista"/>
    <w:uiPriority w:val="34"/>
    <w:locked/>
    <w:rsid w:val="00D36B2F"/>
  </w:style>
  <w:style w:type="paragraph" w:customStyle="1" w:styleId="02Bodytext">
    <w:name w:val="02. Bodytext"/>
    <w:link w:val="02BodytextChar"/>
    <w:qFormat/>
    <w:rsid w:val="00D36B2F"/>
    <w:pPr>
      <w:widowControl w:val="0"/>
      <w:suppressAutoHyphens/>
      <w:autoSpaceDE w:val="0"/>
      <w:autoSpaceDN w:val="0"/>
      <w:adjustRightInd w:val="0"/>
      <w:spacing w:after="120" w:line="240" w:lineRule="exact"/>
      <w:textAlignment w:val="baseline"/>
    </w:pPr>
    <w:rPr>
      <w:rFonts w:ascii="Arial" w:eastAsia="MS PGothic" w:hAnsi="Arial" w:cs="FrutigerNextPro-Light"/>
      <w:color w:val="000000"/>
      <w:sz w:val="17"/>
      <w:szCs w:val="17"/>
      <w:lang w:val="en-GB" w:eastAsia="ja-JP"/>
    </w:rPr>
  </w:style>
  <w:style w:type="character" w:customStyle="1" w:styleId="02BodytextChar">
    <w:name w:val="02. Bodytext Char"/>
    <w:basedOn w:val="Fuentedeprrafopredeter"/>
    <w:link w:val="02Bodytext"/>
    <w:rsid w:val="00D36B2F"/>
    <w:rPr>
      <w:rFonts w:ascii="Arial" w:eastAsia="MS PGothic" w:hAnsi="Arial" w:cs="FrutigerNextPro-Light"/>
      <w:color w:val="000000"/>
      <w:sz w:val="17"/>
      <w:szCs w:val="17"/>
      <w:lang w:val="en-GB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6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B2F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1D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1DF0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1C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F1C6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F1C69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886E19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86E19"/>
    <w:rPr>
      <w:color w:val="954F72"/>
      <w:u w:val="single"/>
    </w:rPr>
  </w:style>
  <w:style w:type="paragraph" w:customStyle="1" w:styleId="msonormal0">
    <w:name w:val="msonormal"/>
    <w:basedOn w:val="Normal"/>
    <w:rsid w:val="0088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886E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66">
    <w:name w:val="xl66"/>
    <w:basedOn w:val="Normal"/>
    <w:rsid w:val="0088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es-MX"/>
    </w:rPr>
  </w:style>
  <w:style w:type="paragraph" w:customStyle="1" w:styleId="xl67">
    <w:name w:val="xl67"/>
    <w:basedOn w:val="Normal"/>
    <w:rsid w:val="0088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68">
    <w:name w:val="xl68"/>
    <w:basedOn w:val="Normal"/>
    <w:rsid w:val="0088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8F8B4-C20F-4037-9604-3A998B5C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CBGA</dc:creator>
  <cp:keywords/>
  <dc:description/>
  <cp:lastModifiedBy>CRE</cp:lastModifiedBy>
  <cp:revision>2</cp:revision>
  <dcterms:created xsi:type="dcterms:W3CDTF">2019-04-16T13:54:00Z</dcterms:created>
  <dcterms:modified xsi:type="dcterms:W3CDTF">2019-04-16T13:54:00Z</dcterms:modified>
</cp:coreProperties>
</file>